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46" w:rsidRPr="00586509" w:rsidRDefault="00CD3846" w:rsidP="001C7232">
      <w:pPr>
        <w:tabs>
          <w:tab w:val="left" w:pos="1528"/>
        </w:tabs>
        <w:jc w:val="center"/>
        <w:rPr>
          <w:b/>
          <w:i/>
        </w:rPr>
      </w:pPr>
      <w:r w:rsidRPr="00586509">
        <w:rPr>
          <w:b/>
          <w:i/>
          <w:lang w:val="vi-VN"/>
        </w:rPr>
        <w:t xml:space="preserve">Phụ lục </w:t>
      </w:r>
      <w:r w:rsidR="006C239D" w:rsidRPr="00586509">
        <w:rPr>
          <w:b/>
          <w:i/>
        </w:rPr>
        <w:t>1</w:t>
      </w:r>
      <w:r w:rsidR="000079AA" w:rsidRPr="00586509">
        <w:rPr>
          <w:b/>
          <w:i/>
        </w:rPr>
        <w:t>1</w:t>
      </w:r>
    </w:p>
    <w:p w:rsidR="00517872" w:rsidRPr="00586509" w:rsidRDefault="00517872" w:rsidP="001C7232">
      <w:pPr>
        <w:spacing w:before="120"/>
        <w:jc w:val="center"/>
        <w:rPr>
          <w:b/>
        </w:rPr>
      </w:pPr>
      <w:r w:rsidRPr="00586509">
        <w:rPr>
          <w:b/>
        </w:rPr>
        <w:t xml:space="preserve">KHAI BÁO, ĐIỀU TRA, THỐNG KÊ, BÁO CÁO TAI NẠN LAO </w:t>
      </w:r>
      <w:r w:rsidRPr="00586509">
        <w:rPr>
          <w:rFonts w:hint="eastAsia"/>
          <w:b/>
        </w:rPr>
        <w:t>Đ</w:t>
      </w:r>
      <w:r w:rsidR="00181F15" w:rsidRPr="00586509">
        <w:rPr>
          <w:b/>
        </w:rPr>
        <w:t>ỘNG</w:t>
      </w:r>
    </w:p>
    <w:p w:rsidR="00316CAE" w:rsidRPr="00586509" w:rsidRDefault="00316CAE" w:rsidP="001C7232">
      <w:pPr>
        <w:jc w:val="center"/>
        <w:rPr>
          <w:i/>
        </w:rPr>
      </w:pPr>
      <w:r w:rsidRPr="00586509">
        <w:rPr>
          <w:i/>
        </w:rPr>
        <w:t>(Kèm theo Công văn số       /SNV-LĐVL&amp;CS ngày       /</w:t>
      </w:r>
      <w:r w:rsidR="000079AA" w:rsidRPr="00586509">
        <w:rPr>
          <w:i/>
        </w:rPr>
        <w:t>7</w:t>
      </w:r>
      <w:r w:rsidRPr="00586509">
        <w:rPr>
          <w:i/>
        </w:rPr>
        <w:t>/2025 của Sở Nội vụ)</w:t>
      </w:r>
    </w:p>
    <w:p w:rsidR="00BC19D4" w:rsidRPr="00586509" w:rsidRDefault="00BC19D4" w:rsidP="00D9099D">
      <w:pPr>
        <w:ind w:firstLine="709"/>
        <w:jc w:val="both"/>
        <w:rPr>
          <w:b/>
          <w:bCs/>
        </w:rPr>
      </w:pPr>
    </w:p>
    <w:p w:rsidR="00181F15" w:rsidRPr="00586509" w:rsidRDefault="00117954" w:rsidP="00832E57">
      <w:pPr>
        <w:spacing w:before="100" w:after="100" w:line="340" w:lineRule="exact"/>
        <w:ind w:firstLine="709"/>
        <w:jc w:val="both"/>
        <w:rPr>
          <w:b/>
        </w:rPr>
      </w:pPr>
      <w:r w:rsidRPr="00586509">
        <w:t xml:space="preserve">Trách nhiệm của người sử dụng lao động về khai báo, điều tra, thống kê, báo cáo tai nạn lao </w:t>
      </w:r>
      <w:r w:rsidRPr="00586509">
        <w:rPr>
          <w:rFonts w:hint="eastAsia"/>
        </w:rPr>
        <w:t>đ</w:t>
      </w:r>
      <w:r w:rsidRPr="00586509">
        <w:t>ộng</w:t>
      </w:r>
      <w:bookmarkStart w:id="0" w:name="_GoBack"/>
      <w:bookmarkEnd w:id="0"/>
      <w:r w:rsidRPr="00586509">
        <w:rPr>
          <w:b/>
        </w:rPr>
        <w:t xml:space="preserve"> </w:t>
      </w:r>
      <w:r w:rsidRPr="00586509">
        <w:t>(t</w:t>
      </w:r>
      <w:r w:rsidR="00181F15" w:rsidRPr="00586509">
        <w:t>heo</w:t>
      </w:r>
      <w:r w:rsidRPr="00586509">
        <w:t xml:space="preserve"> quy định tại</w:t>
      </w:r>
      <w:r w:rsidR="00181F15" w:rsidRPr="00586509">
        <w:t xml:space="preserve"> </w:t>
      </w:r>
      <w:r w:rsidR="00832E57" w:rsidRPr="00586509">
        <w:t xml:space="preserve">Điều 11, Điều 12, Điều 13, Điều 16, Điều 17, Điều 18, Điều 24 </w:t>
      </w:r>
      <w:r w:rsidR="002330A7" w:rsidRPr="00586509">
        <w:t>Nghị định số 39/2016/NĐ-CP;</w:t>
      </w:r>
      <w:r w:rsidR="002330A7" w:rsidRPr="00586509">
        <w:rPr>
          <w:i/>
        </w:rPr>
        <w:t xml:space="preserve"> </w:t>
      </w:r>
      <w:r w:rsidR="002330A7" w:rsidRPr="00586509">
        <w:rPr>
          <w:spacing w:val="2"/>
        </w:rPr>
        <w:t xml:space="preserve">Điều 45 </w:t>
      </w:r>
      <w:r w:rsidR="002330A7" w:rsidRPr="00586509">
        <w:rPr>
          <w:shd w:val="clear" w:color="auto" w:fill="FFFFFF"/>
        </w:rPr>
        <w:t>Nghị định số 129/2025/NĐ-CP ngày 11/6/2025 của Chính phủ</w:t>
      </w:r>
      <w:r w:rsidRPr="00586509">
        <w:t xml:space="preserve">) </w:t>
      </w:r>
      <w:r w:rsidR="00181F15" w:rsidRPr="00586509">
        <w:t>như sau:</w:t>
      </w:r>
    </w:p>
    <w:p w:rsidR="002330A7" w:rsidRPr="00586509" w:rsidRDefault="00D21003" w:rsidP="00832E57">
      <w:pPr>
        <w:shd w:val="clear" w:color="auto" w:fill="FFFFFF"/>
        <w:spacing w:before="100" w:after="100" w:line="340" w:lineRule="exact"/>
        <w:ind w:firstLine="709"/>
        <w:jc w:val="both"/>
        <w:rPr>
          <w:i/>
        </w:rPr>
      </w:pPr>
      <w:bookmarkStart w:id="1" w:name="dieu_10"/>
      <w:r w:rsidRPr="00586509">
        <w:rPr>
          <w:b/>
          <w:bCs/>
        </w:rPr>
        <w:t>I</w:t>
      </w:r>
      <w:r w:rsidRPr="00586509">
        <w:rPr>
          <w:b/>
          <w:bCs/>
          <w:lang w:val="vi-VN"/>
        </w:rPr>
        <w:t>. Thời gian, nội dung khai báo tai nạn lao động</w:t>
      </w:r>
      <w:bookmarkEnd w:id="1"/>
      <w:r w:rsidR="00E73B1B" w:rsidRPr="00586509">
        <w:rPr>
          <w:b/>
          <w:bCs/>
        </w:rPr>
        <w:t xml:space="preserve"> </w:t>
      </w:r>
      <w:r w:rsidR="00E73B1B" w:rsidRPr="00586509">
        <w:rPr>
          <w:bCs/>
          <w:i/>
        </w:rPr>
        <w:t>(</w:t>
      </w:r>
      <w:r w:rsidR="002330A7" w:rsidRPr="00586509">
        <w:rPr>
          <w:i/>
          <w:spacing w:val="2"/>
        </w:rPr>
        <w:t xml:space="preserve">Điều 45 </w:t>
      </w:r>
      <w:r w:rsidR="002330A7" w:rsidRPr="00586509">
        <w:rPr>
          <w:i/>
          <w:shd w:val="clear" w:color="auto" w:fill="FFFFFF"/>
        </w:rPr>
        <w:t>Nghị định số 129/2025/NĐ-CP)</w:t>
      </w:r>
    </w:p>
    <w:p w:rsidR="00D21003" w:rsidRPr="00586509" w:rsidRDefault="00D21003" w:rsidP="00832E57">
      <w:pPr>
        <w:shd w:val="clear" w:color="auto" w:fill="FFFFFF"/>
        <w:spacing w:before="100" w:after="100" w:line="340" w:lineRule="exact"/>
        <w:ind w:firstLine="709"/>
        <w:jc w:val="both"/>
      </w:pPr>
      <w:r w:rsidRPr="00586509">
        <w:rPr>
          <w:lang w:val="vi-VN"/>
        </w:rPr>
        <w:t>1. Khi biết tin xảy ra tai nạn lao động chết người hoặc làm bị thương nặng từ 02 người lao động trở lên, người sử dụng lao động của cơ sở xảy ra tai nạn phải khai báo theo quy định tại </w:t>
      </w:r>
      <w:bookmarkStart w:id="2" w:name="dc_4"/>
      <w:r w:rsidRPr="00586509">
        <w:rPr>
          <w:lang w:val="vi-VN"/>
        </w:rPr>
        <w:t>Điểm b Khoản 1 Điều 34 Luật An toàn, vệ sinh lao động</w:t>
      </w:r>
      <w:bookmarkEnd w:id="2"/>
      <w:r w:rsidRPr="00586509">
        <w:rPr>
          <w:lang w:val="vi-VN"/>
        </w:rPr>
        <w:t> như sau:</w:t>
      </w:r>
    </w:p>
    <w:p w:rsidR="006738AF"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Khai báo bằng cách nhanh nhất (trực tiếp hoặc điện thoại, fax, cô</w:t>
      </w:r>
      <w:r w:rsidR="00D21003" w:rsidRPr="00586509">
        <w:t>n</w:t>
      </w:r>
      <w:r w:rsidR="00D21003" w:rsidRPr="00586509">
        <w:rPr>
          <w:lang w:val="vi-VN"/>
        </w:rPr>
        <w:t xml:space="preserve">g điện, thư điện tử) với </w:t>
      </w:r>
      <w:r w:rsidR="005B6CB9" w:rsidRPr="00586509">
        <w:t>Sở Nội vụ</w:t>
      </w:r>
      <w:r w:rsidR="00D21003" w:rsidRPr="00586509">
        <w:rPr>
          <w:lang w:val="vi-VN"/>
        </w:rPr>
        <w:t xml:space="preserve">, nơi xảy ra tai nạn; trường hợp tai nạn làm chết người đồng thời báo ngay cho Công an </w:t>
      </w:r>
      <w:r w:rsidR="006738AF" w:rsidRPr="00586509">
        <w:t>cấp xã.</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Nội dung</w:t>
      </w:r>
      <w:bookmarkStart w:id="3" w:name="bieumau_ms_01_pl2"/>
      <w:r w:rsidR="006738AF" w:rsidRPr="00586509">
        <w:rPr>
          <w:lang w:val="vi-VN"/>
        </w:rPr>
        <w:t xml:space="preserve"> khai báo theo mẫu quy định tại</w:t>
      </w:r>
      <w:r w:rsidR="006738AF" w:rsidRPr="00586509">
        <w:rPr>
          <w:shd w:val="clear" w:color="auto" w:fill="FFFFFF"/>
        </w:rPr>
        <w:t xml:space="preserve"> Mẫu số 01 Phụ lục II</w:t>
      </w:r>
      <w:bookmarkEnd w:id="3"/>
      <w:r w:rsidR="006738AF" w:rsidRPr="00586509">
        <w:rPr>
          <w:shd w:val="clear" w:color="auto" w:fill="FFFFFF"/>
        </w:rPr>
        <w:t> ban hành kèm theo Nghị định số 129/2025/NĐ-CP của Chính phủ</w:t>
      </w:r>
      <w:r w:rsidR="00F20176" w:rsidRPr="00586509">
        <w:rPr>
          <w:shd w:val="clear" w:color="auto" w:fill="FFFFFF"/>
        </w:rPr>
        <w:t xml:space="preserve"> </w:t>
      </w:r>
      <w:r w:rsidR="00F20176" w:rsidRPr="00586509">
        <w:rPr>
          <w:i/>
          <w:shd w:val="clear" w:color="auto" w:fill="FFFFFF"/>
        </w:rPr>
        <w:t>(có mẫu kèm theo).</w:t>
      </w:r>
    </w:p>
    <w:p w:rsidR="00D21003" w:rsidRPr="00586509" w:rsidRDefault="00D21003" w:rsidP="00832E57">
      <w:pPr>
        <w:shd w:val="clear" w:color="auto" w:fill="FFFFFF"/>
        <w:spacing w:before="100" w:after="100" w:line="340" w:lineRule="exact"/>
        <w:ind w:firstLine="709"/>
        <w:jc w:val="both"/>
      </w:pPr>
      <w:r w:rsidRPr="00586509">
        <w:rPr>
          <w:lang w:val="vi-VN"/>
        </w:rPr>
        <w:t>2. Khi biết tin xảy ra tai nạn lao động chết người hoặc làm bị thương nặng từ 02 người lao động trở lên trong các lĩnh vực phóng xạ, thăm dò, khai thác dầu khí, các phương tiện vận tải đường sắt, đường thủy, đường bộ, đường hàng không và các đơn vị thuộc lực lượng vũ trang nhân dân theo quy định tại </w:t>
      </w:r>
      <w:bookmarkStart w:id="4" w:name="dc_5"/>
      <w:r w:rsidRPr="00586509">
        <w:rPr>
          <w:lang w:val="vi-VN"/>
        </w:rPr>
        <w:t>Điểm c Khoản 1 Điều 34 Luật An toàn, vệ sinh lao động</w:t>
      </w:r>
      <w:bookmarkEnd w:id="4"/>
      <w:r w:rsidRPr="00586509">
        <w:rPr>
          <w:lang w:val="vi-VN"/>
        </w:rPr>
        <w:t>, ngoài việc thực hiện khai báo theo quy định của luật chuyên ngành, người sử dụng lao động của cơ sở để xảy ra tai nạn phải khai báo như sau:</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Khai báo bằng cách nhanh nhất (trực tiếp hoặc điện thoại, fax, công điện, thư điện tử) với </w:t>
      </w:r>
      <w:r w:rsidR="005B6CB9" w:rsidRPr="00586509">
        <w:t>Sở Nội vụ</w:t>
      </w:r>
      <w:r w:rsidR="00D21003" w:rsidRPr="00586509">
        <w:rPr>
          <w:lang w:val="vi-VN"/>
        </w:rPr>
        <w:t>, nơi xảy ra tai nạn và với Bộ quản lý ngành lĩnh vực đó theo thẩm quyền quy định tại </w:t>
      </w:r>
      <w:bookmarkStart w:id="5" w:name="tc_4"/>
      <w:r w:rsidR="00D21003" w:rsidRPr="00586509">
        <w:rPr>
          <w:lang w:val="vi-VN"/>
        </w:rPr>
        <w:t xml:space="preserve">Khoản 2 Điều 21 </w:t>
      </w:r>
      <w:bookmarkEnd w:id="5"/>
      <w:r w:rsidR="00D21003" w:rsidRPr="00586509">
        <w:t>Nghị định số 39/2016/NĐ-CP ngày 15/5/2016</w:t>
      </w:r>
      <w:r w:rsidR="00D21003" w:rsidRPr="00586509">
        <w:rPr>
          <w:lang w:val="vi-VN"/>
        </w:rPr>
        <w:t>, trừ trường hợp luật chuyên ngành có quy định khác; trường hợp tai nạn làm chết người thì phải đồng thờ</w:t>
      </w:r>
      <w:r w:rsidR="006738AF" w:rsidRPr="00586509">
        <w:rPr>
          <w:lang w:val="vi-VN"/>
        </w:rPr>
        <w:t xml:space="preserve">i báo ngay cho Công an cấp </w:t>
      </w:r>
      <w:r w:rsidR="006738AF" w:rsidRPr="00586509">
        <w:t>xã</w:t>
      </w:r>
      <w:r w:rsidR="00D21003" w:rsidRPr="00586509">
        <w:rPr>
          <w:lang w:val="vi-VN"/>
        </w:rPr>
        <w:t>;</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Nội dung khai báo được thực hiện theo mẫu quy định tại </w:t>
      </w:r>
      <w:r w:rsidR="006738AF" w:rsidRPr="00586509">
        <w:rPr>
          <w:shd w:val="clear" w:color="auto" w:fill="FFFFFF"/>
        </w:rPr>
        <w:t>Mẫu số 01 Phụ lục II ban hành kèm theo Nghị định số 129/2025/NĐ-CP của Chính phủ</w:t>
      </w:r>
      <w:r w:rsidR="00F20176" w:rsidRPr="00586509">
        <w:rPr>
          <w:shd w:val="clear" w:color="auto" w:fill="FFFFFF"/>
        </w:rPr>
        <w:t xml:space="preserve"> </w:t>
      </w:r>
      <w:r w:rsidR="00F20176" w:rsidRPr="00586509">
        <w:rPr>
          <w:i/>
          <w:shd w:val="clear" w:color="auto" w:fill="FFFFFF"/>
        </w:rPr>
        <w:t>(có mẫu kèm theo)</w:t>
      </w:r>
      <w:r w:rsidR="006738AF" w:rsidRPr="00586509">
        <w:rPr>
          <w:i/>
          <w:shd w:val="clear" w:color="auto" w:fill="FFFFFF"/>
        </w:rPr>
        <w:t>.</w:t>
      </w:r>
    </w:p>
    <w:p w:rsidR="00D21003" w:rsidRPr="00586509" w:rsidRDefault="00D21003" w:rsidP="00832E57">
      <w:pPr>
        <w:shd w:val="clear" w:color="auto" w:fill="FFFFFF"/>
        <w:spacing w:before="100" w:after="100" w:line="340" w:lineRule="exact"/>
        <w:ind w:firstLine="709"/>
        <w:jc w:val="both"/>
      </w:pPr>
      <w:bookmarkStart w:id="6" w:name="dieu_11"/>
      <w:r w:rsidRPr="00586509">
        <w:rPr>
          <w:b/>
          <w:bCs/>
        </w:rPr>
        <w:t>II</w:t>
      </w:r>
      <w:r w:rsidRPr="00586509">
        <w:rPr>
          <w:b/>
          <w:bCs/>
          <w:lang w:val="vi-VN"/>
        </w:rPr>
        <w:t xml:space="preserve">. </w:t>
      </w:r>
      <w:r w:rsidR="008602AF" w:rsidRPr="00586509">
        <w:rPr>
          <w:b/>
          <w:bCs/>
        </w:rPr>
        <w:t>T</w:t>
      </w:r>
      <w:r w:rsidRPr="00586509">
        <w:rPr>
          <w:b/>
          <w:bCs/>
          <w:lang w:val="vi-VN"/>
        </w:rPr>
        <w:t>hành lập Đoàn Điều tra tai nạn lao động</w:t>
      </w:r>
      <w:bookmarkEnd w:id="6"/>
      <w:r w:rsidR="008602AF" w:rsidRPr="00586509">
        <w:rPr>
          <w:b/>
          <w:bCs/>
        </w:rPr>
        <w:t xml:space="preserve"> cấp cơ sở</w:t>
      </w:r>
      <w:r w:rsidR="00E73B1B" w:rsidRPr="00586509">
        <w:rPr>
          <w:b/>
          <w:bCs/>
        </w:rPr>
        <w:t xml:space="preserve"> </w:t>
      </w:r>
      <w:r w:rsidR="00E73B1B" w:rsidRPr="00586509">
        <w:rPr>
          <w:bCs/>
          <w:i/>
        </w:rPr>
        <w:t xml:space="preserve">(Điều 11 </w:t>
      </w:r>
      <w:r w:rsidR="00E73B1B" w:rsidRPr="00586509">
        <w:rPr>
          <w:i/>
        </w:rPr>
        <w:t>Nghị định số 39/2016/NĐ-CP)</w:t>
      </w:r>
    </w:p>
    <w:p w:rsidR="00D21003" w:rsidRPr="00586509" w:rsidRDefault="008602AF" w:rsidP="00832E57">
      <w:pPr>
        <w:shd w:val="clear" w:color="auto" w:fill="FFFFFF"/>
        <w:spacing w:before="100" w:after="100" w:line="340" w:lineRule="exact"/>
        <w:ind w:firstLine="709"/>
        <w:jc w:val="both"/>
      </w:pPr>
      <w:r w:rsidRPr="00586509">
        <w:t>1.</w:t>
      </w:r>
      <w:r w:rsidR="00D21003" w:rsidRPr="00586509">
        <w:rPr>
          <w:lang w:val="vi-VN"/>
        </w:rPr>
        <w:t xml:space="preserve"> Khi biết tin xảy ra tai nạn lao động nhẹ hoặc tai nạn lao động làm bị thương nặng 01 người lao động thuộc thẩm quyền quản lý của người sử dụng lao động quy định tại </w:t>
      </w:r>
      <w:bookmarkStart w:id="7" w:name="dc_7"/>
      <w:r w:rsidR="00D21003" w:rsidRPr="00586509">
        <w:rPr>
          <w:lang w:val="vi-VN"/>
        </w:rPr>
        <w:t>Khoản 1 Điều 35 Luật An toàn, vệ sinh lao động</w:t>
      </w:r>
      <w:bookmarkEnd w:id="7"/>
      <w:r w:rsidR="00D21003" w:rsidRPr="00586509">
        <w:rPr>
          <w:lang w:val="vi-VN"/>
        </w:rPr>
        <w:t xml:space="preserve">, người sử </w:t>
      </w:r>
      <w:r w:rsidR="00D21003" w:rsidRPr="00586509">
        <w:rPr>
          <w:lang w:val="vi-VN"/>
        </w:rPr>
        <w:lastRenderedPageBreak/>
        <w:t>dụng lao động phải thành lập ngay Đoàn Điều tra tai nạn lao động cấp cơ sở theo mẫu quy định tại </w:t>
      </w:r>
      <w:bookmarkStart w:id="8" w:name="bieumau_pl_5"/>
      <w:r w:rsidR="00D21003" w:rsidRPr="00586509">
        <w:rPr>
          <w:lang w:val="vi-VN"/>
        </w:rPr>
        <w:t>Phụ lục V</w:t>
      </w:r>
      <w:bookmarkEnd w:id="8"/>
      <w:r w:rsidR="00D21003" w:rsidRPr="00586509">
        <w:rPr>
          <w:lang w:val="vi-VN"/>
        </w:rPr>
        <w:t xml:space="preserve"> ban hành kèm theo </w:t>
      </w:r>
      <w:r w:rsidRPr="00586509">
        <w:t>Nghị định số 39/2016/NĐ-CP ngày 15/5/2016.</w:t>
      </w:r>
    </w:p>
    <w:p w:rsidR="00D21003" w:rsidRPr="00586509" w:rsidRDefault="008602AF" w:rsidP="00832E57">
      <w:pPr>
        <w:shd w:val="clear" w:color="auto" w:fill="FFFFFF"/>
        <w:spacing w:before="100" w:after="100" w:line="340" w:lineRule="exact"/>
        <w:ind w:firstLine="709"/>
        <w:jc w:val="both"/>
      </w:pPr>
      <w:r w:rsidRPr="00586509">
        <w:t>2.</w:t>
      </w:r>
      <w:r w:rsidR="00D21003" w:rsidRPr="00586509">
        <w:rPr>
          <w:lang w:val="vi-VN"/>
        </w:rPr>
        <w:t xml:space="preserve"> Đối với các vụ tai nạn lao động xảy ra tại nơi thuộc thẩm quyền quản lý của người sử dụng lao động, nhưng nạn nhân là người lao động thuộc quyền quản lý của người sử dụng lao động khác, thì người sử dụng lao động tại nơi xảy ra tai nạn có trách nhiệm thành lập Đoàn Điều tra tai nạn lao động cấp cơ sở, đồng thời mời đại diện người sử dụng lao động của nạn nhân tham gia Đoàn Điều tra.</w:t>
      </w:r>
    </w:p>
    <w:p w:rsidR="00D21003" w:rsidRPr="00586509" w:rsidRDefault="008602AF" w:rsidP="00832E57">
      <w:pPr>
        <w:shd w:val="clear" w:color="auto" w:fill="FFFFFF"/>
        <w:spacing w:before="100" w:after="100" w:line="340" w:lineRule="exact"/>
        <w:ind w:firstLine="709"/>
        <w:jc w:val="both"/>
      </w:pPr>
      <w:bookmarkStart w:id="9" w:name="dieu_12"/>
      <w:r w:rsidRPr="00586509">
        <w:rPr>
          <w:b/>
          <w:bCs/>
        </w:rPr>
        <w:t>III</w:t>
      </w:r>
      <w:r w:rsidR="00D21003" w:rsidRPr="00586509">
        <w:rPr>
          <w:b/>
          <w:bCs/>
          <w:lang w:val="vi-VN"/>
        </w:rPr>
        <w:t>. Nhiệm vụ của thành viên Đoàn Điều tra tai nạn lao động</w:t>
      </w:r>
      <w:bookmarkEnd w:id="9"/>
      <w:r w:rsidR="00E73B1B" w:rsidRPr="00586509">
        <w:rPr>
          <w:b/>
          <w:bCs/>
        </w:rPr>
        <w:t xml:space="preserve"> </w:t>
      </w:r>
      <w:r w:rsidR="00E73B1B" w:rsidRPr="00586509">
        <w:rPr>
          <w:bCs/>
          <w:i/>
        </w:rPr>
        <w:t xml:space="preserve">(Điều 12 </w:t>
      </w:r>
      <w:r w:rsidR="00E73B1B" w:rsidRPr="00586509">
        <w:rPr>
          <w:i/>
        </w:rPr>
        <w:t>Nghị định số 39/2016/NĐ-CP)</w:t>
      </w:r>
    </w:p>
    <w:p w:rsidR="00D21003" w:rsidRPr="00586509" w:rsidRDefault="00D21003" w:rsidP="00832E57">
      <w:pPr>
        <w:shd w:val="clear" w:color="auto" w:fill="FFFFFF"/>
        <w:spacing w:before="100" w:after="100" w:line="340" w:lineRule="exact"/>
        <w:ind w:firstLine="709"/>
        <w:jc w:val="both"/>
      </w:pPr>
      <w:r w:rsidRPr="00586509">
        <w:rPr>
          <w:lang w:val="vi-VN"/>
        </w:rPr>
        <w:t>1. Trưởng Đoàn Điều tra tai nạn lao động có nhiệm vụ sau đây:</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Quyết định tiến hành việc Điều tra ngay, kể cả trường hợp vắng một trong các thành viên Đoàn Điều tra;</w:t>
      </w:r>
    </w:p>
    <w:p w:rsidR="00D21003" w:rsidRPr="00586509" w:rsidRDefault="00C62840" w:rsidP="00832E57">
      <w:pPr>
        <w:shd w:val="clear" w:color="auto" w:fill="FFFFFF"/>
        <w:spacing w:before="100" w:after="100" w:line="340" w:lineRule="exact"/>
        <w:ind w:firstLine="709"/>
        <w:jc w:val="both"/>
        <w:rPr>
          <w:spacing w:val="-4"/>
        </w:rPr>
      </w:pPr>
      <w:r w:rsidRPr="00586509">
        <w:rPr>
          <w:spacing w:val="-4"/>
        </w:rPr>
        <w:t>-</w:t>
      </w:r>
      <w:r w:rsidR="00D21003" w:rsidRPr="00586509">
        <w:rPr>
          <w:spacing w:val="-4"/>
          <w:lang w:val="vi-VN"/>
        </w:rPr>
        <w:t xml:space="preserve"> Phân công cụ thể nhiệm vụ đối với từng thành viên trong Đoàn Điều tra;</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Tổ chức thảo luận về kết quả Điều tra vụ tai nạn lao động; quyết định và chịu trách nhiệm về quyết định của m</w:t>
      </w:r>
      <w:r w:rsidR="00D21003" w:rsidRPr="00586509">
        <w:t>ì</w:t>
      </w:r>
      <w:r w:rsidR="00D21003" w:rsidRPr="00586509">
        <w:rPr>
          <w:lang w:val="vi-VN"/>
        </w:rPr>
        <w:t>nh đối với kết quả Điều tra tai nạn lao động;</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Tổ chức, chủ trì cuộc họp công bố Biên bản Điều tra tai nạn lao động.</w:t>
      </w:r>
    </w:p>
    <w:p w:rsidR="00D21003" w:rsidRPr="00586509" w:rsidRDefault="00D21003" w:rsidP="00832E57">
      <w:pPr>
        <w:shd w:val="clear" w:color="auto" w:fill="FFFFFF"/>
        <w:spacing w:before="100" w:after="100" w:line="340" w:lineRule="exact"/>
        <w:ind w:firstLine="709"/>
        <w:jc w:val="both"/>
      </w:pPr>
      <w:r w:rsidRPr="00586509">
        <w:rPr>
          <w:lang w:val="vi-VN"/>
        </w:rPr>
        <w:t>2. Các thành viên Đoàn Điều tra tai nạn lao động có nhiệm vụ sau đây:</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Thực hiện nhiệm vụ do Trưởng đoàn phân công và tham gia vào hoạt động chung của Đoàn Điều tra;</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Có quyền nêu và bảo lưu ý kiến; trường hợp không thống nhất với quyết định của Trưởng đoàn Điều tra tai nạn lao động thì báo cáo lãnh đạo cơ quan cử tham gia Đoàn Điều tra;</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Không được </w:t>
      </w:r>
      <w:r w:rsidR="00A13D8B" w:rsidRPr="00586509">
        <w:t>t</w:t>
      </w:r>
      <w:r w:rsidR="00D21003" w:rsidRPr="00586509">
        <w:rPr>
          <w:lang w:val="vi-VN"/>
        </w:rPr>
        <w:t>iết lộ thông tin, tài liệu trong quá trình Điều tra khi chưa công bố Biên bản Điều tra tai nạn lao động.</w:t>
      </w:r>
    </w:p>
    <w:p w:rsidR="00D21003" w:rsidRPr="00586509" w:rsidRDefault="006B1709" w:rsidP="00832E57">
      <w:pPr>
        <w:shd w:val="clear" w:color="auto" w:fill="FFFFFF"/>
        <w:spacing w:before="100" w:after="100" w:line="340" w:lineRule="exact"/>
        <w:ind w:firstLine="709"/>
        <w:jc w:val="both"/>
      </w:pPr>
      <w:bookmarkStart w:id="10" w:name="dieu_13"/>
      <w:r w:rsidRPr="00586509">
        <w:rPr>
          <w:b/>
          <w:bCs/>
        </w:rPr>
        <w:t>IV</w:t>
      </w:r>
      <w:r w:rsidR="00D21003" w:rsidRPr="00586509">
        <w:rPr>
          <w:b/>
          <w:bCs/>
          <w:lang w:val="vi-VN"/>
        </w:rPr>
        <w:t>. Quy trình, thủ tục Điều tra tai nạn lao động của Đoàn Điều tra tai nạn lao động cấp cơ sở</w:t>
      </w:r>
      <w:bookmarkEnd w:id="10"/>
      <w:r w:rsidR="00977977" w:rsidRPr="00586509">
        <w:rPr>
          <w:b/>
          <w:bCs/>
        </w:rPr>
        <w:t xml:space="preserve"> </w:t>
      </w:r>
      <w:r w:rsidR="00977977" w:rsidRPr="00586509">
        <w:rPr>
          <w:bCs/>
          <w:i/>
        </w:rPr>
        <w:t xml:space="preserve">(Điều 13 </w:t>
      </w:r>
      <w:r w:rsidR="00977977" w:rsidRPr="00586509">
        <w:rPr>
          <w:i/>
        </w:rPr>
        <w:t>Nghị định số 39/2016/NĐ-CP)</w:t>
      </w:r>
    </w:p>
    <w:p w:rsidR="00D21003" w:rsidRPr="00586509" w:rsidRDefault="00D21003" w:rsidP="00832E57">
      <w:pPr>
        <w:shd w:val="clear" w:color="auto" w:fill="FFFFFF"/>
        <w:spacing w:before="100" w:after="100" w:line="340" w:lineRule="exact"/>
        <w:ind w:firstLine="709"/>
        <w:jc w:val="both"/>
      </w:pPr>
      <w:r w:rsidRPr="00586509">
        <w:rPr>
          <w:lang w:val="vi-VN"/>
        </w:rPr>
        <w:t>Đoàn Điều tra tai nạn lao động cấp cơ sở Điều tra theo quy trình, thủ tục sau đây:</w:t>
      </w:r>
    </w:p>
    <w:p w:rsidR="00D21003" w:rsidRPr="00586509" w:rsidRDefault="00D21003" w:rsidP="00832E57">
      <w:pPr>
        <w:shd w:val="clear" w:color="auto" w:fill="FFFFFF"/>
        <w:spacing w:before="100" w:after="100" w:line="340" w:lineRule="exact"/>
        <w:ind w:firstLine="709"/>
        <w:jc w:val="both"/>
        <w:rPr>
          <w:spacing w:val="-4"/>
        </w:rPr>
      </w:pPr>
      <w:r w:rsidRPr="00586509">
        <w:rPr>
          <w:spacing w:val="-4"/>
          <w:lang w:val="vi-VN"/>
        </w:rPr>
        <w:t>1. Thu thập dấu vết, chứng cứ, tài liệu có liên quan đến vụ tai nạn lao động.</w:t>
      </w:r>
    </w:p>
    <w:p w:rsidR="00D21003" w:rsidRPr="00586509" w:rsidRDefault="00D21003" w:rsidP="00832E57">
      <w:pPr>
        <w:shd w:val="clear" w:color="auto" w:fill="FFFFFF"/>
        <w:spacing w:before="100" w:after="100" w:line="340" w:lineRule="exact"/>
        <w:ind w:firstLine="709"/>
        <w:jc w:val="both"/>
      </w:pPr>
      <w:r w:rsidRPr="00586509">
        <w:rPr>
          <w:lang w:val="vi-VN"/>
        </w:rPr>
        <w:t>2. Lấy lời khai của nạn nhân, người biết sự việc hoặc người có liên quan đến vụ tai nạn lao động theo mẫu quy định tại </w:t>
      </w:r>
      <w:bookmarkStart w:id="11" w:name="bieumau_pl_8"/>
      <w:r w:rsidRPr="00586509">
        <w:rPr>
          <w:lang w:val="vi-VN"/>
        </w:rPr>
        <w:t>Phụ lục VIII</w:t>
      </w:r>
      <w:bookmarkEnd w:id="11"/>
      <w:r w:rsidRPr="00586509">
        <w:rPr>
          <w:lang w:val="vi-VN"/>
        </w:rPr>
        <w:t xml:space="preserve"> ban hành kèm theo </w:t>
      </w:r>
      <w:r w:rsidR="003C154F" w:rsidRPr="00586509">
        <w:t>Nghị định số 39/2016/NĐ-CP ngày 15/5/2016.</w:t>
      </w:r>
    </w:p>
    <w:p w:rsidR="00D21003" w:rsidRPr="00586509" w:rsidRDefault="00D21003" w:rsidP="00832E57">
      <w:pPr>
        <w:shd w:val="clear" w:color="auto" w:fill="FFFFFF"/>
        <w:spacing w:before="100" w:after="100" w:line="340" w:lineRule="exact"/>
        <w:ind w:firstLine="709"/>
        <w:jc w:val="both"/>
      </w:pPr>
      <w:r w:rsidRPr="00586509">
        <w:rPr>
          <w:lang w:val="vi-VN"/>
        </w:rPr>
        <w:t>3. Đề nghị giám định kỹ thuật, giám định pháp y (nếu xét thấy cần thiết).</w:t>
      </w:r>
    </w:p>
    <w:p w:rsidR="00D21003" w:rsidRPr="00586509" w:rsidRDefault="00D21003" w:rsidP="00832E57">
      <w:pPr>
        <w:shd w:val="clear" w:color="auto" w:fill="FFFFFF"/>
        <w:spacing w:before="100" w:after="100" w:line="340" w:lineRule="exact"/>
        <w:ind w:firstLine="709"/>
        <w:jc w:val="both"/>
      </w:pPr>
      <w:r w:rsidRPr="00586509">
        <w:rPr>
          <w:lang w:val="vi-VN"/>
        </w:rPr>
        <w:t xml:space="preserve">4. Phân tích kết luận về: diễn biến, nguyên nhân gây ra tai nạn lao động; kết luận về vụ tai nạn lao động; mức độ vi phạm và đề nghị hình thức xử lý đối </w:t>
      </w:r>
      <w:r w:rsidRPr="00586509">
        <w:rPr>
          <w:lang w:val="vi-VN"/>
        </w:rPr>
        <w:lastRenderedPageBreak/>
        <w:t>với người có lỗi trong vụ tai nạn lao động; các biện pháp khắc phục và phòng ngừa tai nạn lao động tương tự hoặc tái diễn.</w:t>
      </w:r>
    </w:p>
    <w:p w:rsidR="00D21003" w:rsidRPr="00586509" w:rsidRDefault="00D21003" w:rsidP="00832E57">
      <w:pPr>
        <w:shd w:val="clear" w:color="auto" w:fill="FFFFFF"/>
        <w:spacing w:before="100" w:after="100" w:line="340" w:lineRule="exact"/>
        <w:ind w:firstLine="709"/>
        <w:jc w:val="both"/>
      </w:pPr>
      <w:r w:rsidRPr="00586509">
        <w:rPr>
          <w:lang w:val="vi-VN"/>
        </w:rPr>
        <w:t>5. Lập Biên bản Điều tra tai nạn lao động theo mẫu quy định tại </w:t>
      </w:r>
      <w:bookmarkStart w:id="12" w:name="bieumau_pl_2_9"/>
      <w:r w:rsidRPr="00586509">
        <w:rPr>
          <w:lang w:val="vi-VN"/>
        </w:rPr>
        <w:t>Phụ lục IX</w:t>
      </w:r>
      <w:bookmarkEnd w:id="12"/>
      <w:r w:rsidRPr="00586509">
        <w:rPr>
          <w:lang w:val="vi-VN"/>
        </w:rPr>
        <w:t xml:space="preserve"> ban hành kèm theo </w:t>
      </w:r>
      <w:r w:rsidR="003C154F" w:rsidRPr="00586509">
        <w:t>Nghị định số 39/2016/NĐ-CP ngày 15/5/2016.</w:t>
      </w:r>
    </w:p>
    <w:p w:rsidR="00D21003" w:rsidRPr="00586509" w:rsidRDefault="00D21003" w:rsidP="00832E57">
      <w:pPr>
        <w:shd w:val="clear" w:color="auto" w:fill="FFFFFF"/>
        <w:spacing w:before="100" w:after="100" w:line="340" w:lineRule="exact"/>
        <w:ind w:firstLine="709"/>
        <w:jc w:val="both"/>
      </w:pPr>
      <w:r w:rsidRPr="00586509">
        <w:rPr>
          <w:lang w:val="vi-VN"/>
        </w:rPr>
        <w:t>6. Tổ chức cuộc họp và lập Biên bản cuộc họp công bố Biên bản Điều tra tai nạn lao động theo mẫu quy định tại </w:t>
      </w:r>
      <w:bookmarkStart w:id="13" w:name="bieumau_pl_1_11"/>
      <w:r w:rsidRPr="00586509">
        <w:rPr>
          <w:lang w:val="vi-VN"/>
        </w:rPr>
        <w:t>Phụ lục XI</w:t>
      </w:r>
      <w:bookmarkEnd w:id="13"/>
      <w:r w:rsidRPr="00586509">
        <w:rPr>
          <w:lang w:val="vi-VN"/>
        </w:rPr>
        <w:t xml:space="preserve"> kèm theo </w:t>
      </w:r>
      <w:r w:rsidR="003C154F" w:rsidRPr="00586509">
        <w:t>Nghị định số 39/2016/NĐ-CP ngày 15/5/2016.</w:t>
      </w:r>
    </w:p>
    <w:p w:rsidR="00D21003" w:rsidRPr="00586509" w:rsidRDefault="00D21003" w:rsidP="00832E57">
      <w:pPr>
        <w:shd w:val="clear" w:color="auto" w:fill="FFFFFF"/>
        <w:spacing w:before="100" w:after="100" w:line="340" w:lineRule="exact"/>
        <w:ind w:firstLine="709"/>
        <w:jc w:val="both"/>
        <w:rPr>
          <w:spacing w:val="-6"/>
        </w:rPr>
      </w:pPr>
      <w:r w:rsidRPr="00586509">
        <w:rPr>
          <w:spacing w:val="-6"/>
          <w:lang w:val="vi-VN"/>
        </w:rPr>
        <w:t>7. Thành phần cuộc họp công bố Biên bản Điều tra tai nạn lao động bao gồm:</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Trưởng đoàn Điều tra tai nạn lao động;</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Người sử dụng lao động hoặc người được người sử dụng lao động ủy quyền bằng văn bản;</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Thành viên Đoàn Điều tra tai nạn lao động;</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Người bị nạn hoặc đại diện thân nhân người bị nạn, người biết sự việc hoặc người có liên quan đến vụ tai nạn;</w:t>
      </w:r>
    </w:p>
    <w:p w:rsidR="00D21003" w:rsidRPr="00586509" w:rsidRDefault="00C62840" w:rsidP="00832E57">
      <w:pPr>
        <w:shd w:val="clear" w:color="auto" w:fill="FFFFFF"/>
        <w:spacing w:before="100" w:after="100" w:line="340" w:lineRule="exact"/>
        <w:ind w:firstLine="709"/>
        <w:jc w:val="both"/>
      </w:pPr>
      <w:r w:rsidRPr="00586509">
        <w:t>-</w:t>
      </w:r>
      <w:r w:rsidR="00D21003" w:rsidRPr="00586509">
        <w:rPr>
          <w:lang w:val="vi-VN"/>
        </w:rPr>
        <w:t xml:space="preserve"> Đại diện Ban chấp hành công đoàn cơ sở hoặc Ban chấp hành Công đoàn cấp trên trực tiếp cơ sở ở nơi chưa thành lập Công đoàn cơ sở.</w:t>
      </w:r>
    </w:p>
    <w:p w:rsidR="00D21003" w:rsidRPr="00586509" w:rsidRDefault="00D21003" w:rsidP="00832E57">
      <w:pPr>
        <w:shd w:val="clear" w:color="auto" w:fill="FFFFFF"/>
        <w:spacing w:before="100" w:after="100" w:line="340" w:lineRule="exact"/>
        <w:ind w:firstLine="709"/>
        <w:jc w:val="both"/>
      </w:pPr>
      <w:r w:rsidRPr="00586509">
        <w:rPr>
          <w:lang w:val="vi-VN"/>
        </w:rPr>
        <w:t>8. Thành viên dự họp có ý kiến không nhất trí với nội dung Biên bản Điều tra tai nạn lao động thì được ghi ý kiến và ký tên vào Biên bản cuộc họp công bố Biên bản Điều tra tai nạn lao động.</w:t>
      </w:r>
    </w:p>
    <w:p w:rsidR="00260856" w:rsidRPr="00586509" w:rsidRDefault="00D21003" w:rsidP="00832E57">
      <w:pPr>
        <w:shd w:val="clear" w:color="auto" w:fill="FFFFFF"/>
        <w:spacing w:before="100" w:after="100" w:line="340" w:lineRule="exact"/>
        <w:ind w:firstLine="709"/>
        <w:jc w:val="both"/>
      </w:pPr>
      <w:r w:rsidRPr="00586509">
        <w:rPr>
          <w:lang w:val="vi-VN"/>
        </w:rPr>
        <w:t xml:space="preserve">9. Trong thời hạn 03 ngày làm việc, kể từ ngày họp công bố Biên bản Điều tra tai nạn lao động, Đoàn Điều tra tai nạn lao động cấp cơ sở gửi Biên bản Điều tra tai nạn lao động, Biên bản cuộc họp công bố Biên bản Điều tra tai nạn lao động tới người bị tai nạn lao động hoặc thân nhân người bị nạn; </w:t>
      </w:r>
      <w:r w:rsidR="005C4C6A" w:rsidRPr="00586509">
        <w:t>Sở Nội vụ</w:t>
      </w:r>
      <w:r w:rsidRPr="00586509">
        <w:rPr>
          <w:lang w:val="vi-VN"/>
        </w:rPr>
        <w:t xml:space="preserve">, nơi người sử dụng lao động có người bị nạn đặt trụ sở chính; </w:t>
      </w:r>
      <w:r w:rsidR="005C4C6A" w:rsidRPr="00586509">
        <w:t>Sở Nội vụ</w:t>
      </w:r>
      <w:r w:rsidRPr="00586509">
        <w:rPr>
          <w:lang w:val="vi-VN"/>
        </w:rPr>
        <w:t>, nơi xảy ra tai nạn lao động.</w:t>
      </w:r>
    </w:p>
    <w:p w:rsidR="00260856" w:rsidRPr="00586509" w:rsidRDefault="00260856" w:rsidP="00832E57">
      <w:pPr>
        <w:shd w:val="clear" w:color="auto" w:fill="FFFFFF"/>
        <w:spacing w:before="100" w:after="100" w:line="340" w:lineRule="exact"/>
        <w:ind w:firstLine="709"/>
        <w:jc w:val="both"/>
      </w:pPr>
      <w:r w:rsidRPr="00586509">
        <w:t xml:space="preserve">V. </w:t>
      </w:r>
      <w:bookmarkStart w:id="14" w:name="dieu_16"/>
      <w:r w:rsidRPr="00586509">
        <w:rPr>
          <w:b/>
          <w:bCs/>
          <w:lang w:val="vi-VN"/>
        </w:rPr>
        <w:t>Hồ sơ vụ tai nạn lao động</w:t>
      </w:r>
      <w:bookmarkEnd w:id="14"/>
      <w:r w:rsidRPr="00586509">
        <w:rPr>
          <w:b/>
          <w:bCs/>
        </w:rPr>
        <w:t xml:space="preserve"> </w:t>
      </w:r>
      <w:r w:rsidRPr="00586509">
        <w:rPr>
          <w:bCs/>
          <w:i/>
        </w:rPr>
        <w:t xml:space="preserve">(Điều 16 </w:t>
      </w:r>
      <w:r w:rsidRPr="00586509">
        <w:rPr>
          <w:i/>
        </w:rPr>
        <w:t>Nghị định số 39/2016/NĐ-CP)</w:t>
      </w:r>
    </w:p>
    <w:p w:rsidR="00260856" w:rsidRPr="00586509" w:rsidRDefault="00260856" w:rsidP="00832E57">
      <w:pPr>
        <w:shd w:val="clear" w:color="auto" w:fill="FFFFFF"/>
        <w:spacing w:before="100" w:after="100" w:line="340" w:lineRule="exact"/>
        <w:ind w:firstLine="709"/>
        <w:jc w:val="both"/>
      </w:pPr>
      <w:r w:rsidRPr="00586509">
        <w:t>1. </w:t>
      </w:r>
      <w:r w:rsidRPr="00586509">
        <w:rPr>
          <w:lang w:val="vi-VN"/>
        </w:rPr>
        <w:t>Người sử dụng lao động có trách nhiệm lập Hồ sơ vụ tai nạn lao động. Hồ sơ bao gồm bản chính hoặc bản sao các tài liệu sau đây:</w:t>
      </w:r>
    </w:p>
    <w:p w:rsidR="00260856" w:rsidRPr="00586509" w:rsidRDefault="00260856" w:rsidP="00832E57">
      <w:pPr>
        <w:shd w:val="clear" w:color="auto" w:fill="FFFFFF"/>
        <w:spacing w:before="100" w:after="100" w:line="340" w:lineRule="exact"/>
        <w:ind w:firstLine="709"/>
        <w:jc w:val="both"/>
      </w:pPr>
      <w:r w:rsidRPr="00586509">
        <w:t>a) </w:t>
      </w:r>
      <w:r w:rsidRPr="00586509">
        <w:rPr>
          <w:lang w:val="vi-VN"/>
        </w:rPr>
        <w:t>Biên bản khám nghiệm hiện trường (nếu có);</w:t>
      </w:r>
    </w:p>
    <w:p w:rsidR="00260856" w:rsidRPr="00586509" w:rsidRDefault="00260856" w:rsidP="00832E57">
      <w:pPr>
        <w:shd w:val="clear" w:color="auto" w:fill="FFFFFF"/>
        <w:spacing w:before="100" w:after="100" w:line="340" w:lineRule="exact"/>
        <w:ind w:firstLine="709"/>
        <w:jc w:val="both"/>
      </w:pPr>
      <w:r w:rsidRPr="00586509">
        <w:t>b) </w:t>
      </w:r>
      <w:r w:rsidRPr="00586509">
        <w:rPr>
          <w:lang w:val="vi-VN"/>
        </w:rPr>
        <w:t>Sơ đồ hiện trường;</w:t>
      </w:r>
    </w:p>
    <w:p w:rsidR="00260856" w:rsidRPr="00586509" w:rsidRDefault="00260856" w:rsidP="00832E57">
      <w:pPr>
        <w:shd w:val="clear" w:color="auto" w:fill="FFFFFF"/>
        <w:spacing w:before="100" w:after="100" w:line="340" w:lineRule="exact"/>
        <w:ind w:firstLine="709"/>
        <w:jc w:val="both"/>
      </w:pPr>
      <w:r w:rsidRPr="00586509">
        <w:t>c) Ả</w:t>
      </w:r>
      <w:r w:rsidRPr="00586509">
        <w:rPr>
          <w:lang w:val="vi-VN"/>
        </w:rPr>
        <w:t>nh hiện trường, ảnh nạn nhân;</w:t>
      </w:r>
    </w:p>
    <w:p w:rsidR="00260856" w:rsidRPr="00586509" w:rsidRDefault="00260856" w:rsidP="00832E57">
      <w:pPr>
        <w:shd w:val="clear" w:color="auto" w:fill="FFFFFF"/>
        <w:spacing w:before="100" w:after="100" w:line="340" w:lineRule="exact"/>
        <w:ind w:firstLine="709"/>
        <w:jc w:val="both"/>
      </w:pPr>
      <w:r w:rsidRPr="00586509">
        <w:t>d) </w:t>
      </w:r>
      <w:r w:rsidRPr="00586509">
        <w:rPr>
          <w:lang w:val="vi-VN"/>
        </w:rPr>
        <w:t>Biên bản khám nghiệm tử thi hoặc khám nghiệm thương tích, trừ trường hợp mất tích theo tuyên bố của Tòa án;</w:t>
      </w:r>
    </w:p>
    <w:p w:rsidR="00260856" w:rsidRPr="00586509" w:rsidRDefault="00260856" w:rsidP="00832E57">
      <w:pPr>
        <w:shd w:val="clear" w:color="auto" w:fill="FFFFFF"/>
        <w:spacing w:before="100" w:after="100" w:line="340" w:lineRule="exact"/>
        <w:ind w:firstLine="709"/>
        <w:jc w:val="both"/>
      </w:pPr>
      <w:r w:rsidRPr="00586509">
        <w:rPr>
          <w:lang w:val="vi-VN"/>
        </w:rPr>
        <w:t>đ) Biên bản giám định kỹ thuật, giám định pháp y, kết luận giám định tư pháp (nếu có);</w:t>
      </w:r>
    </w:p>
    <w:p w:rsidR="00260856" w:rsidRPr="00586509" w:rsidRDefault="00260856" w:rsidP="00832E57">
      <w:pPr>
        <w:shd w:val="clear" w:color="auto" w:fill="FFFFFF"/>
        <w:spacing w:before="100" w:after="100" w:line="340" w:lineRule="exact"/>
        <w:ind w:firstLine="709"/>
        <w:jc w:val="both"/>
      </w:pPr>
      <w:r w:rsidRPr="00586509">
        <w:t>e) </w:t>
      </w:r>
      <w:r w:rsidRPr="00586509">
        <w:rPr>
          <w:lang w:val="vi-VN"/>
        </w:rPr>
        <w:t>Biên bản lấy lời khai của nạn nhân, người biết sự việc hoặc người có liên quan đến vụ tai nạn lao động;</w:t>
      </w:r>
    </w:p>
    <w:p w:rsidR="00260856" w:rsidRPr="00586509" w:rsidRDefault="00260856" w:rsidP="00832E57">
      <w:pPr>
        <w:shd w:val="clear" w:color="auto" w:fill="FFFFFF"/>
        <w:spacing w:before="100" w:after="100" w:line="340" w:lineRule="exact"/>
        <w:ind w:firstLine="709"/>
        <w:jc w:val="both"/>
      </w:pPr>
      <w:r w:rsidRPr="00586509">
        <w:t>g) </w:t>
      </w:r>
      <w:r w:rsidRPr="00586509">
        <w:rPr>
          <w:lang w:val="vi-VN"/>
        </w:rPr>
        <w:t>Biên bản Điều tra tai nạn lao động;</w:t>
      </w:r>
    </w:p>
    <w:p w:rsidR="00260856" w:rsidRPr="00586509" w:rsidRDefault="00260856" w:rsidP="00832E57">
      <w:pPr>
        <w:shd w:val="clear" w:color="auto" w:fill="FFFFFF"/>
        <w:spacing w:before="100" w:after="100" w:line="340" w:lineRule="exact"/>
        <w:ind w:firstLine="709"/>
        <w:jc w:val="both"/>
      </w:pPr>
      <w:r w:rsidRPr="00586509">
        <w:lastRenderedPageBreak/>
        <w:t>h) </w:t>
      </w:r>
      <w:r w:rsidRPr="00586509">
        <w:rPr>
          <w:lang w:val="vi-VN"/>
        </w:rPr>
        <w:t>Biên bản cuộc họp công bố biên bản Điều tra tai nạn lao động;</w:t>
      </w:r>
    </w:p>
    <w:p w:rsidR="00260856" w:rsidRPr="00586509" w:rsidRDefault="00260856" w:rsidP="00832E57">
      <w:pPr>
        <w:shd w:val="clear" w:color="auto" w:fill="FFFFFF"/>
        <w:spacing w:before="100" w:after="100" w:line="340" w:lineRule="exact"/>
        <w:ind w:firstLine="709"/>
        <w:jc w:val="both"/>
      </w:pPr>
      <w:r w:rsidRPr="00586509">
        <w:t>i) </w:t>
      </w:r>
      <w:r w:rsidRPr="00586509">
        <w:rPr>
          <w:lang w:val="vi-VN"/>
        </w:rPr>
        <w:t>Giấy chứng thương của cơ sở y tế được Điều trị (nếu có);</w:t>
      </w:r>
    </w:p>
    <w:p w:rsidR="00260856" w:rsidRPr="00586509" w:rsidRDefault="00260856" w:rsidP="00832E57">
      <w:pPr>
        <w:shd w:val="clear" w:color="auto" w:fill="FFFFFF"/>
        <w:spacing w:before="100" w:after="100" w:line="340" w:lineRule="exact"/>
        <w:ind w:firstLine="709"/>
        <w:jc w:val="both"/>
      </w:pPr>
      <w:r w:rsidRPr="00586509">
        <w:rPr>
          <w:lang w:val="vi-VN"/>
        </w:rPr>
        <w:t>k) Giấy ra viện của cơ sở y tế được Điều trị (nếu có).</w:t>
      </w:r>
    </w:p>
    <w:p w:rsidR="00260856" w:rsidRPr="00586509" w:rsidRDefault="00260856" w:rsidP="00832E57">
      <w:pPr>
        <w:shd w:val="clear" w:color="auto" w:fill="FFFFFF"/>
        <w:spacing w:before="100" w:after="100" w:line="340" w:lineRule="exact"/>
        <w:ind w:firstLine="709"/>
        <w:jc w:val="both"/>
      </w:pPr>
      <w:r w:rsidRPr="00586509">
        <w:t>2. </w:t>
      </w:r>
      <w:r w:rsidRPr="00586509">
        <w:rPr>
          <w:lang w:val="vi-VN"/>
        </w:rPr>
        <w:t>Trong một vụ tai nạn lao động, nếu có nhiều người bị tai nạn lao động thì mỗi người bị tai nạn lao động được lập một bộ hồ sơ riêng.</w:t>
      </w:r>
    </w:p>
    <w:p w:rsidR="00260856" w:rsidRPr="00586509" w:rsidRDefault="00260856" w:rsidP="00832E57">
      <w:pPr>
        <w:shd w:val="clear" w:color="auto" w:fill="FFFFFF"/>
        <w:spacing w:before="100" w:after="100" w:line="340" w:lineRule="exact"/>
        <w:ind w:firstLine="709"/>
        <w:jc w:val="both"/>
      </w:pPr>
      <w:r w:rsidRPr="00586509">
        <w:t>3. </w:t>
      </w:r>
      <w:r w:rsidRPr="00586509">
        <w:rPr>
          <w:lang w:val="vi-VN"/>
        </w:rPr>
        <w:t>L</w:t>
      </w:r>
      <w:r w:rsidRPr="00586509">
        <w:t>ư</w:t>
      </w:r>
      <w:r w:rsidRPr="00586509">
        <w:rPr>
          <w:lang w:val="vi-VN"/>
        </w:rPr>
        <w:t>u trữ hồ sơ tai nạn lao động</w:t>
      </w:r>
      <w:r w:rsidRPr="00586509">
        <w:t>: n</w:t>
      </w:r>
      <w:r w:rsidRPr="00586509">
        <w:rPr>
          <w:lang w:val="vi-VN"/>
        </w:rPr>
        <w:t>gười sử dụng lao động lưu trữ hồ sơ tai nạn lao động theo quy định tại </w:t>
      </w:r>
      <w:bookmarkStart w:id="15" w:name="tc_10"/>
      <w:r w:rsidRPr="00586509">
        <w:rPr>
          <w:lang w:val="vi-VN"/>
        </w:rPr>
        <w:t xml:space="preserve">Khoản 8 Điều 18 </w:t>
      </w:r>
      <w:bookmarkEnd w:id="15"/>
      <w:r w:rsidRPr="00586509">
        <w:t>Nghị định số 39/2016/NĐ-CP.</w:t>
      </w:r>
    </w:p>
    <w:p w:rsidR="00E82437" w:rsidRPr="00586509" w:rsidRDefault="00E82437" w:rsidP="00832E57">
      <w:pPr>
        <w:shd w:val="clear" w:color="auto" w:fill="FFFFFF"/>
        <w:spacing w:before="100" w:after="100" w:line="340" w:lineRule="exact"/>
        <w:ind w:firstLine="709"/>
        <w:jc w:val="both"/>
      </w:pPr>
      <w:bookmarkStart w:id="16" w:name="dieu_17"/>
      <w:r w:rsidRPr="00586509">
        <w:rPr>
          <w:b/>
          <w:bCs/>
        </w:rPr>
        <w:t xml:space="preserve">VI. </w:t>
      </w:r>
      <w:r w:rsidRPr="00586509">
        <w:rPr>
          <w:b/>
          <w:bCs/>
          <w:lang w:val="vi-VN"/>
        </w:rPr>
        <w:t>Điều tra lại tai nạn lao động khi có khiếu nại, tố cáo</w:t>
      </w:r>
      <w:bookmarkEnd w:id="16"/>
      <w:r w:rsidRPr="00586509">
        <w:rPr>
          <w:b/>
          <w:bCs/>
        </w:rPr>
        <w:t xml:space="preserve"> </w:t>
      </w:r>
      <w:r w:rsidRPr="00586509">
        <w:rPr>
          <w:bCs/>
          <w:i/>
        </w:rPr>
        <w:t xml:space="preserve">(Điều 17 </w:t>
      </w:r>
      <w:r w:rsidRPr="00586509">
        <w:rPr>
          <w:i/>
        </w:rPr>
        <w:t>Nghị định số 39/2016/NĐ-CP)</w:t>
      </w:r>
    </w:p>
    <w:p w:rsidR="00E82437" w:rsidRPr="00586509" w:rsidRDefault="00E82437" w:rsidP="00832E57">
      <w:pPr>
        <w:shd w:val="clear" w:color="auto" w:fill="FFFFFF"/>
        <w:spacing w:before="100" w:after="100" w:line="340" w:lineRule="exact"/>
        <w:ind w:firstLine="709"/>
        <w:jc w:val="both"/>
      </w:pPr>
      <w:r w:rsidRPr="00586509">
        <w:t>1. </w:t>
      </w:r>
      <w:r w:rsidRPr="00586509">
        <w:rPr>
          <w:lang w:val="vi-VN"/>
        </w:rPr>
        <w:t>Trong thời hạn 90 ngày, kể từ ngày công bố biên bản Điều tra tai nạn lao động, nếu có khiếu nại, tố cáo theo đúng quy định của pháp luật thì việc Điều tra lại tai nạn lao động thực hiện như sau:</w:t>
      </w:r>
    </w:p>
    <w:p w:rsidR="00E82437" w:rsidRPr="00586509" w:rsidRDefault="00E82437" w:rsidP="00832E57">
      <w:pPr>
        <w:shd w:val="clear" w:color="auto" w:fill="FFFFFF"/>
        <w:spacing w:before="100" w:after="100" w:line="340" w:lineRule="exact"/>
        <w:ind w:firstLine="709"/>
        <w:jc w:val="both"/>
      </w:pPr>
      <w:r w:rsidRPr="00586509">
        <w:t>a) </w:t>
      </w:r>
      <w:r w:rsidRPr="00586509">
        <w:rPr>
          <w:lang w:val="vi-VN"/>
        </w:rPr>
        <w:t>Trong thời hạn 10 ngày làm việc kể từ ngày nhận được đ</w:t>
      </w:r>
      <w:r w:rsidRPr="00586509">
        <w:t>ơ</w:t>
      </w:r>
      <w:r w:rsidRPr="00586509">
        <w:rPr>
          <w:lang w:val="vi-VN"/>
        </w:rPr>
        <w:t>n khiếu nại, tố cáo, cơ quan thành lập Đoàn Điều tra tai nạn lao động có trách nhiệm xem xét, giải quyết khiếu nại, tố cáo theo đúng trình tự, thủ tục, thẩm quyền được quy định tại </w:t>
      </w:r>
      <w:bookmarkStart w:id="17" w:name="tvpllink_cgpoduumea"/>
      <w:r w:rsidRPr="00586509">
        <w:rPr>
          <w:lang w:val="vi-VN"/>
        </w:rPr>
        <w:fldChar w:fldCharType="begin"/>
      </w:r>
      <w:r w:rsidRPr="00586509">
        <w:rPr>
          <w:lang w:val="vi-VN"/>
        </w:rPr>
        <w:instrText xml:space="preserve"> HYPERLINK "https://thuvienphapluat.vn/van-ban/Thu-tuc-To-tung/Luat-khieu-nai-2011-132446.aspx" \t "_blank" </w:instrText>
      </w:r>
      <w:r w:rsidRPr="00586509">
        <w:rPr>
          <w:lang w:val="vi-VN"/>
        </w:rPr>
        <w:fldChar w:fldCharType="separate"/>
      </w:r>
      <w:r w:rsidRPr="00586509">
        <w:rPr>
          <w:lang w:val="vi-VN"/>
        </w:rPr>
        <w:t>Luật Khiếu nại</w:t>
      </w:r>
      <w:r w:rsidRPr="00586509">
        <w:rPr>
          <w:lang w:val="vi-VN"/>
        </w:rPr>
        <w:fldChar w:fldCharType="end"/>
      </w:r>
      <w:bookmarkEnd w:id="17"/>
      <w:r w:rsidRPr="00586509">
        <w:rPr>
          <w:lang w:val="vi-VN"/>
        </w:rPr>
        <w:t>, </w:t>
      </w:r>
      <w:bookmarkStart w:id="18" w:name="tvpllink_pnqbhhvwgh"/>
      <w:r w:rsidRPr="00586509">
        <w:rPr>
          <w:lang w:val="vi-VN"/>
        </w:rPr>
        <w:fldChar w:fldCharType="begin"/>
      </w:r>
      <w:r w:rsidRPr="00586509">
        <w:rPr>
          <w:lang w:val="vi-VN"/>
        </w:rPr>
        <w:instrText xml:space="preserve"> HYPERLINK "https://thuvienphapluat.vn/van-ban/Thu-tuc-To-tung/Luat-to-cao-2011-132448.aspx" \t "_blank" </w:instrText>
      </w:r>
      <w:r w:rsidRPr="00586509">
        <w:rPr>
          <w:lang w:val="vi-VN"/>
        </w:rPr>
        <w:fldChar w:fldCharType="separate"/>
      </w:r>
      <w:r w:rsidRPr="00586509">
        <w:rPr>
          <w:lang w:val="vi-VN"/>
        </w:rPr>
        <w:t>Luật Tố cáo</w:t>
      </w:r>
      <w:r w:rsidRPr="00586509">
        <w:rPr>
          <w:lang w:val="vi-VN"/>
        </w:rPr>
        <w:fldChar w:fldCharType="end"/>
      </w:r>
      <w:bookmarkEnd w:id="18"/>
      <w:r w:rsidRPr="00586509">
        <w:rPr>
          <w:lang w:val="vi-VN"/>
        </w:rPr>
        <w:t>;</w:t>
      </w:r>
    </w:p>
    <w:p w:rsidR="00E82437" w:rsidRPr="00586509" w:rsidRDefault="00E82437" w:rsidP="00832E57">
      <w:pPr>
        <w:shd w:val="clear" w:color="auto" w:fill="FFFFFF"/>
        <w:spacing w:before="100" w:after="100" w:line="340" w:lineRule="exact"/>
        <w:ind w:firstLine="709"/>
        <w:jc w:val="both"/>
      </w:pPr>
      <w:r w:rsidRPr="00586509">
        <w:t>b) </w:t>
      </w:r>
      <w:r w:rsidRPr="00586509">
        <w:rPr>
          <w:lang w:val="vi-VN"/>
        </w:rPr>
        <w:t>Trường hợp người khiếu nại, tố cáo không nhất trí với ý kiến trả lời của cơ quan, tổ chức có trách nhiệm giải quyết nêu tại Điểm a, Khoản này mà vẫn tiếp tục khiếu nại, tố cáo thì cơ quan có thẩm quyền Điều tra theo quy định tại </w:t>
      </w:r>
      <w:bookmarkStart w:id="19" w:name="dc_11"/>
      <w:r w:rsidRPr="00586509">
        <w:rPr>
          <w:lang w:val="vi-VN"/>
        </w:rPr>
        <w:t>Khoản 2, Khoản 3 Điều 35 Luật An toàn, vệ sinh lao động</w:t>
      </w:r>
      <w:bookmarkEnd w:id="19"/>
      <w:r w:rsidRPr="00586509">
        <w:rPr>
          <w:lang w:val="vi-VN"/>
        </w:rPr>
        <w:t> thành lập Đoàn Điều tra tai nạn lao động để tiến hành Điều tra lại tai nạn lao động, đồng thời thông báo bằng văn bản kết quả Điều tra lại cho người khiếu nại hoặc tố cáo biết; trường hợp không tiến hành Điều tra lại thì phải nêu rõ lý do;</w:t>
      </w:r>
    </w:p>
    <w:p w:rsidR="00E82437" w:rsidRPr="00586509" w:rsidRDefault="00E82437" w:rsidP="00832E57">
      <w:pPr>
        <w:shd w:val="clear" w:color="auto" w:fill="FFFFFF"/>
        <w:spacing w:before="100" w:after="100" w:line="340" w:lineRule="exact"/>
        <w:ind w:firstLine="709"/>
        <w:jc w:val="both"/>
      </w:pPr>
      <w:r w:rsidRPr="00586509">
        <w:t>c) </w:t>
      </w:r>
      <w:r w:rsidRPr="00586509">
        <w:rPr>
          <w:lang w:val="vi-VN"/>
        </w:rPr>
        <w:t>Cơ sở để xảy ra tai nạn và Đoàn Điều tra tai nạn lao động cấp cơ sở có trách nhiệm cung cấp đ</w:t>
      </w:r>
      <w:r w:rsidRPr="00586509">
        <w:t>ầ</w:t>
      </w:r>
      <w:r w:rsidRPr="00586509">
        <w:rPr>
          <w:lang w:val="vi-VN"/>
        </w:rPr>
        <w:t>y đủ tài liệu, đồ vật, phương tiện có liên quan đến vụ tai nạn lao động cho Đoàn Điều tra lại tai nạn lao động cấp tỉnh;</w:t>
      </w:r>
    </w:p>
    <w:p w:rsidR="00E82437" w:rsidRPr="00586509" w:rsidRDefault="00E82437" w:rsidP="00832E57">
      <w:pPr>
        <w:shd w:val="clear" w:color="auto" w:fill="FFFFFF"/>
        <w:spacing w:before="100" w:after="100" w:line="340" w:lineRule="exact"/>
        <w:ind w:firstLine="709"/>
        <w:jc w:val="both"/>
      </w:pPr>
      <w:r w:rsidRPr="00586509">
        <w:t>d) </w:t>
      </w:r>
      <w:r w:rsidRPr="00586509">
        <w:rPr>
          <w:lang w:val="vi-VN"/>
        </w:rPr>
        <w:t>Đoàn Điều tra tai nạn lao động cấp tỉnh có trách nhiệm cung cấp đầy đủ tài liệu, đồ vật, phương tiện có liên quan đến vụ tai nạn lao động cho Đoàn Điều tra lại tai nạn lao động cấp trung ương;</w:t>
      </w:r>
    </w:p>
    <w:p w:rsidR="00E82437" w:rsidRPr="00586509" w:rsidRDefault="00E82437" w:rsidP="00832E57">
      <w:pPr>
        <w:shd w:val="clear" w:color="auto" w:fill="FFFFFF"/>
        <w:spacing w:before="100" w:after="100" w:line="340" w:lineRule="exact"/>
        <w:ind w:firstLine="709"/>
        <w:jc w:val="both"/>
      </w:pPr>
      <w:r w:rsidRPr="00586509">
        <w:rPr>
          <w:lang w:val="vi-VN"/>
        </w:rPr>
        <w:t>đ) Kết luận của Đoàn Điều tra lại tai nạn lao động cấp trung ương là kết luận cuối cùng.</w:t>
      </w:r>
    </w:p>
    <w:p w:rsidR="00E82437" w:rsidRPr="00586509" w:rsidRDefault="00E82437" w:rsidP="00832E57">
      <w:pPr>
        <w:shd w:val="clear" w:color="auto" w:fill="FFFFFF"/>
        <w:spacing w:before="100" w:after="100" w:line="340" w:lineRule="exact"/>
        <w:ind w:firstLine="709"/>
        <w:jc w:val="both"/>
      </w:pPr>
      <w:r w:rsidRPr="00586509">
        <w:t>2. </w:t>
      </w:r>
      <w:r w:rsidRPr="00586509">
        <w:rPr>
          <w:lang w:val="vi-VN"/>
        </w:rPr>
        <w:t>Biên bản Điều tra tai nạn lao động trước sẽ hết hiệu lực pháp lý khi biên bản Điều tra lại được công bố.</w:t>
      </w:r>
    </w:p>
    <w:p w:rsidR="00D21003" w:rsidRPr="00586509" w:rsidRDefault="006B1709" w:rsidP="00832E57">
      <w:pPr>
        <w:shd w:val="clear" w:color="auto" w:fill="FFFFFF"/>
        <w:spacing w:before="100" w:after="100" w:line="340" w:lineRule="exact"/>
        <w:ind w:firstLine="709"/>
        <w:jc w:val="both"/>
      </w:pPr>
      <w:bookmarkStart w:id="20" w:name="dieu_18"/>
      <w:r w:rsidRPr="00586509">
        <w:rPr>
          <w:b/>
          <w:bCs/>
        </w:rPr>
        <w:t>V</w:t>
      </w:r>
      <w:r w:rsidR="00D21003" w:rsidRPr="00586509">
        <w:rPr>
          <w:b/>
          <w:bCs/>
          <w:lang w:val="vi-VN"/>
        </w:rPr>
        <w:t>. Trách nhiệm của người sử dụng lao động của cơ sở xảy ra tai nạn lao động</w:t>
      </w:r>
      <w:bookmarkEnd w:id="20"/>
      <w:r w:rsidR="00A42DDB" w:rsidRPr="00586509">
        <w:rPr>
          <w:b/>
          <w:bCs/>
        </w:rPr>
        <w:t xml:space="preserve"> </w:t>
      </w:r>
      <w:r w:rsidR="00A42DDB" w:rsidRPr="00586509">
        <w:rPr>
          <w:bCs/>
          <w:i/>
        </w:rPr>
        <w:t xml:space="preserve">(Điều 18 </w:t>
      </w:r>
      <w:r w:rsidR="00A42DDB" w:rsidRPr="00586509">
        <w:rPr>
          <w:i/>
        </w:rPr>
        <w:t>Nghị định số 39/2016/NĐ-CP)</w:t>
      </w:r>
    </w:p>
    <w:p w:rsidR="00D21003" w:rsidRPr="00586509" w:rsidRDefault="00D21003" w:rsidP="00832E57">
      <w:pPr>
        <w:shd w:val="clear" w:color="auto" w:fill="FFFFFF"/>
        <w:spacing w:before="100" w:after="100" w:line="340" w:lineRule="exact"/>
        <w:ind w:firstLine="709"/>
        <w:jc w:val="both"/>
      </w:pPr>
      <w:r w:rsidRPr="00586509">
        <w:t>1. </w:t>
      </w:r>
      <w:r w:rsidRPr="00586509">
        <w:rPr>
          <w:lang w:val="vi-VN"/>
        </w:rPr>
        <w:t>Kịp thời tổ chức sơ cứu, cấp cứu người bị nạn.</w:t>
      </w:r>
    </w:p>
    <w:p w:rsidR="00D21003" w:rsidRPr="00586509" w:rsidRDefault="00D21003" w:rsidP="00832E57">
      <w:pPr>
        <w:shd w:val="clear" w:color="auto" w:fill="FFFFFF"/>
        <w:spacing w:before="100" w:after="100" w:line="340" w:lineRule="exact"/>
        <w:ind w:firstLine="709"/>
        <w:jc w:val="both"/>
      </w:pPr>
      <w:r w:rsidRPr="00586509">
        <w:t>2. </w:t>
      </w:r>
      <w:r w:rsidRPr="00586509">
        <w:rPr>
          <w:lang w:val="vi-VN"/>
        </w:rPr>
        <w:t>Khai báo tai nạn lao động theo quy định tại </w:t>
      </w:r>
      <w:bookmarkStart w:id="21" w:name="tc_11"/>
      <w:r w:rsidRPr="00586509">
        <w:rPr>
          <w:lang w:val="vi-VN"/>
        </w:rPr>
        <w:t xml:space="preserve">Điều 10 </w:t>
      </w:r>
      <w:bookmarkEnd w:id="21"/>
      <w:r w:rsidR="003C154F" w:rsidRPr="00586509">
        <w:t>Nghị định số 39/2016/NĐ-CP ngày 15/5/2016.</w:t>
      </w:r>
    </w:p>
    <w:p w:rsidR="00D21003" w:rsidRPr="00586509" w:rsidRDefault="00D21003" w:rsidP="00832E57">
      <w:pPr>
        <w:shd w:val="clear" w:color="auto" w:fill="FFFFFF"/>
        <w:spacing w:before="100" w:after="100" w:line="340" w:lineRule="exact"/>
        <w:ind w:firstLine="709"/>
        <w:jc w:val="both"/>
      </w:pPr>
      <w:r w:rsidRPr="00586509">
        <w:lastRenderedPageBreak/>
        <w:t>3. </w:t>
      </w:r>
      <w:r w:rsidRPr="00586509">
        <w:rPr>
          <w:lang w:val="vi-VN"/>
        </w:rPr>
        <w:t>Giữ nguyên hiện trường vụ tai nạn lao động chết người, tai nạn lao động nặng theo nguyên tắc sau đây:</w:t>
      </w:r>
    </w:p>
    <w:p w:rsidR="00D21003" w:rsidRPr="00586509" w:rsidRDefault="00C62840" w:rsidP="00832E57">
      <w:pPr>
        <w:shd w:val="clear" w:color="auto" w:fill="FFFFFF"/>
        <w:spacing w:before="100" w:after="100" w:line="340" w:lineRule="exact"/>
        <w:ind w:firstLine="709"/>
        <w:jc w:val="both"/>
      </w:pPr>
      <w:r w:rsidRPr="00586509">
        <w:t>-</w:t>
      </w:r>
      <w:r w:rsidR="00D21003" w:rsidRPr="00586509">
        <w:t> </w:t>
      </w:r>
      <w:r w:rsidR="00D21003" w:rsidRPr="00586509">
        <w:rPr>
          <w:lang w:val="vi-VN"/>
        </w:rPr>
        <w:t>Trường hợp phải cấp cứu người bị nạn, ngăn chặn những rủi ro, thiệt hại có thể xảy ra cho người khác mà làm xáo trộn hiện trường thì người sử dụng lao động của cơ sở xảy ra tai nạn lao động phải có trách nhiệm vẽ lại sơ đồ hiện trường, lập biên bản, chụp ảnh, quay phim hiện trường (nếu có thể);</w:t>
      </w:r>
    </w:p>
    <w:p w:rsidR="00D21003" w:rsidRPr="00586509" w:rsidRDefault="00C62840" w:rsidP="00832E57">
      <w:pPr>
        <w:shd w:val="clear" w:color="auto" w:fill="FFFFFF"/>
        <w:spacing w:before="100" w:after="100" w:line="340" w:lineRule="exact"/>
        <w:ind w:firstLine="709"/>
        <w:jc w:val="both"/>
        <w:rPr>
          <w:spacing w:val="-2"/>
        </w:rPr>
      </w:pPr>
      <w:r w:rsidRPr="00586509">
        <w:rPr>
          <w:spacing w:val="-2"/>
        </w:rPr>
        <w:t>-</w:t>
      </w:r>
      <w:r w:rsidR="00D21003" w:rsidRPr="00586509">
        <w:rPr>
          <w:spacing w:val="-2"/>
        </w:rPr>
        <w:t> </w:t>
      </w:r>
      <w:r w:rsidR="00D21003" w:rsidRPr="00586509">
        <w:rPr>
          <w:spacing w:val="-2"/>
          <w:lang w:val="vi-VN"/>
        </w:rPr>
        <w:t>Chỉ được x</w:t>
      </w:r>
      <w:r w:rsidR="00D21003" w:rsidRPr="00586509">
        <w:rPr>
          <w:spacing w:val="-2"/>
        </w:rPr>
        <w:t>óa</w:t>
      </w:r>
      <w:r w:rsidR="00D21003" w:rsidRPr="00586509">
        <w:rPr>
          <w:spacing w:val="-2"/>
          <w:lang w:val="vi-VN"/>
        </w:rPr>
        <w:t> bỏ hiện trường và mai táng tử thi (nếu có) sau khi đã hoàn thành các bước Điều tra theo quy định của Nghị định này và được sự đồng ý bằng văn bản của Đoàn Điều tra tai nạn lao động cấp tỉnh hoặc cơ quan công an.</w:t>
      </w:r>
    </w:p>
    <w:p w:rsidR="00D21003" w:rsidRPr="00586509" w:rsidRDefault="00D21003" w:rsidP="00832E57">
      <w:pPr>
        <w:shd w:val="clear" w:color="auto" w:fill="FFFFFF"/>
        <w:spacing w:before="100" w:after="100" w:line="340" w:lineRule="exact"/>
        <w:ind w:firstLine="709"/>
        <w:jc w:val="both"/>
      </w:pPr>
      <w:r w:rsidRPr="00586509">
        <w:t>4. </w:t>
      </w:r>
      <w:r w:rsidRPr="00586509">
        <w:rPr>
          <w:lang w:val="vi-VN"/>
        </w:rPr>
        <w:t>Cung cấp ngay tài liệu, đồ vật, phương tiện có liên quan đến vụ tai nạn theo yêu cầu của Đoàn Điều tra tai nạn lao động cấp trên và chịu trách nhiệm trước pháp luật về những tài liệu, đồ vật, phương tiện đó.</w:t>
      </w:r>
    </w:p>
    <w:p w:rsidR="00D21003" w:rsidRPr="00586509" w:rsidRDefault="00D21003" w:rsidP="00832E57">
      <w:pPr>
        <w:shd w:val="clear" w:color="auto" w:fill="FFFFFF"/>
        <w:spacing w:before="100" w:after="100" w:line="340" w:lineRule="exact"/>
        <w:ind w:firstLine="709"/>
        <w:jc w:val="both"/>
      </w:pPr>
      <w:r w:rsidRPr="00586509">
        <w:t>5. </w:t>
      </w:r>
      <w:r w:rsidRPr="00586509">
        <w:rPr>
          <w:lang w:val="vi-VN"/>
        </w:rPr>
        <w:t>Tạo Điều kiện cho người lao động liên quan đến vụ tai nạn cung cấp thông tin cho Đoàn Điều tra tai nạn lao động khi được yêu cầu.</w:t>
      </w:r>
    </w:p>
    <w:p w:rsidR="00D21003" w:rsidRPr="00586509" w:rsidRDefault="00D21003" w:rsidP="00832E57">
      <w:pPr>
        <w:shd w:val="clear" w:color="auto" w:fill="FFFFFF"/>
        <w:spacing w:before="100" w:after="100" w:line="340" w:lineRule="exact"/>
        <w:ind w:firstLine="709"/>
        <w:jc w:val="both"/>
      </w:pPr>
      <w:r w:rsidRPr="00586509">
        <w:t>6. </w:t>
      </w:r>
      <w:r w:rsidRPr="00586509">
        <w:rPr>
          <w:lang w:val="vi-VN"/>
        </w:rPr>
        <w:t>Thành lập Đoàn Điều tra tai nạn lao động cấp cơ sở để Điều tra các vụ tai nạn lao động thuộc thẩm quyền quy định tại </w:t>
      </w:r>
      <w:bookmarkStart w:id="22" w:name="dc_12"/>
      <w:r w:rsidRPr="00586509">
        <w:rPr>
          <w:lang w:val="vi-VN"/>
        </w:rPr>
        <w:t>Khoản 1 Điều 35 Luật An toàn, vệ sinh lao động</w:t>
      </w:r>
      <w:bookmarkEnd w:id="22"/>
      <w:r w:rsidRPr="00586509">
        <w:rPr>
          <w:lang w:val="vi-VN"/>
        </w:rPr>
        <w:t> và </w:t>
      </w:r>
      <w:bookmarkStart w:id="23" w:name="tc_12"/>
      <w:r w:rsidRPr="00586509">
        <w:rPr>
          <w:lang w:val="vi-VN"/>
        </w:rPr>
        <w:t xml:space="preserve">Khoản 1 Điều 11 </w:t>
      </w:r>
      <w:bookmarkEnd w:id="23"/>
      <w:r w:rsidR="003C154F" w:rsidRPr="00586509">
        <w:t>Nghị định số 39/2016/NĐ-CP ngày 15/5/2016.</w:t>
      </w:r>
    </w:p>
    <w:p w:rsidR="00D21003" w:rsidRPr="00586509" w:rsidRDefault="00D21003" w:rsidP="00832E57">
      <w:pPr>
        <w:shd w:val="clear" w:color="auto" w:fill="FFFFFF"/>
        <w:spacing w:before="100" w:after="100" w:line="340" w:lineRule="exact"/>
        <w:ind w:firstLine="709"/>
        <w:jc w:val="both"/>
      </w:pPr>
      <w:r w:rsidRPr="00586509">
        <w:t>7. </w:t>
      </w:r>
      <w:r w:rsidRPr="00586509">
        <w:rPr>
          <w:lang w:val="vi-VN"/>
        </w:rPr>
        <w:t>Thông báo đầy đủ thông tin liên quan về tai nạn lao động tới tất cả người lao động thuộc cơ sở của mình.</w:t>
      </w:r>
    </w:p>
    <w:p w:rsidR="00D21003" w:rsidRPr="00586509" w:rsidRDefault="00D21003" w:rsidP="00832E57">
      <w:pPr>
        <w:shd w:val="clear" w:color="auto" w:fill="FFFFFF"/>
        <w:spacing w:before="100" w:after="100" w:line="340" w:lineRule="exact"/>
        <w:ind w:firstLine="709"/>
        <w:jc w:val="both"/>
      </w:pPr>
      <w:bookmarkStart w:id="24" w:name="khoan_8_18"/>
      <w:r w:rsidRPr="00586509">
        <w:t>8. </w:t>
      </w:r>
      <w:bookmarkEnd w:id="24"/>
      <w:r w:rsidRPr="00586509">
        <w:rPr>
          <w:lang w:val="vi-VN"/>
        </w:rPr>
        <w:t>Hoàn chỉnh hồ sơ và lưu trữ hồ sơ tai nạn lao động cho người lao động trong thời gian như sau:</w:t>
      </w:r>
    </w:p>
    <w:p w:rsidR="00D21003" w:rsidRPr="00586509" w:rsidRDefault="00C62840" w:rsidP="00832E57">
      <w:pPr>
        <w:shd w:val="clear" w:color="auto" w:fill="FFFFFF"/>
        <w:spacing w:before="100" w:after="100" w:line="340" w:lineRule="exact"/>
        <w:ind w:firstLine="709"/>
        <w:jc w:val="both"/>
      </w:pPr>
      <w:r w:rsidRPr="00586509">
        <w:t>-</w:t>
      </w:r>
      <w:r w:rsidR="00D21003" w:rsidRPr="00586509">
        <w:t> </w:t>
      </w:r>
      <w:r w:rsidR="00D21003" w:rsidRPr="00586509">
        <w:rPr>
          <w:lang w:val="vi-VN"/>
        </w:rPr>
        <w:t>15 năm đối với vụ tai nạn lao động chết người;</w:t>
      </w:r>
    </w:p>
    <w:p w:rsidR="00D21003" w:rsidRPr="00586509" w:rsidRDefault="00C62840" w:rsidP="00832E57">
      <w:pPr>
        <w:shd w:val="clear" w:color="auto" w:fill="FFFFFF"/>
        <w:spacing w:before="100" w:after="100" w:line="340" w:lineRule="exact"/>
        <w:ind w:firstLine="709"/>
        <w:jc w:val="both"/>
        <w:rPr>
          <w:spacing w:val="-8"/>
        </w:rPr>
      </w:pPr>
      <w:r w:rsidRPr="00586509">
        <w:rPr>
          <w:spacing w:val="-8"/>
        </w:rPr>
        <w:t>-</w:t>
      </w:r>
      <w:r w:rsidR="00D21003" w:rsidRPr="00586509">
        <w:rPr>
          <w:spacing w:val="-8"/>
        </w:rPr>
        <w:t> </w:t>
      </w:r>
      <w:r w:rsidR="00D21003" w:rsidRPr="00586509">
        <w:rPr>
          <w:spacing w:val="-8"/>
          <w:lang w:val="vi-VN"/>
        </w:rPr>
        <w:t>Đến khi người bị tai nạn lao động nghỉ hưu đối với vụ tai nạn lao động khác.</w:t>
      </w:r>
    </w:p>
    <w:p w:rsidR="00D21003" w:rsidRPr="00586509" w:rsidRDefault="00D21003" w:rsidP="00832E57">
      <w:pPr>
        <w:shd w:val="clear" w:color="auto" w:fill="FFFFFF"/>
        <w:spacing w:before="100" w:after="100" w:line="340" w:lineRule="exact"/>
        <w:ind w:firstLine="709"/>
        <w:jc w:val="both"/>
      </w:pPr>
      <w:r w:rsidRPr="00586509">
        <w:t>9. </w:t>
      </w:r>
      <w:r w:rsidRPr="00586509">
        <w:rPr>
          <w:lang w:val="vi-VN"/>
        </w:rPr>
        <w:t xml:space="preserve">Thanh toán các </w:t>
      </w:r>
      <w:r w:rsidR="00832E57" w:rsidRPr="00586509">
        <w:t>k</w:t>
      </w:r>
      <w:r w:rsidRPr="00586509">
        <w:rPr>
          <w:lang w:val="vi-VN"/>
        </w:rPr>
        <w:t>hoản chi phí phục vụ cho việc Điều tra tai nạn lao động kể cả việc Điều tra lại tai nạn lao động theo quy định tại </w:t>
      </w:r>
      <w:bookmarkStart w:id="25" w:name="tc_13"/>
      <w:r w:rsidRPr="00586509">
        <w:rPr>
          <w:lang w:val="vi-VN"/>
        </w:rPr>
        <w:t xml:space="preserve">Điểm a Khoản 1 Điều 27 </w:t>
      </w:r>
      <w:bookmarkEnd w:id="25"/>
      <w:r w:rsidR="003C154F" w:rsidRPr="00586509">
        <w:t xml:space="preserve">Nghị định </w:t>
      </w:r>
      <w:r w:rsidR="00CB6DC4" w:rsidRPr="00586509">
        <w:t>số 39/2016/NĐ-CP ngày 15/5/2016</w:t>
      </w:r>
      <w:r w:rsidRPr="00586509">
        <w:rPr>
          <w:lang w:val="vi-VN"/>
        </w:rPr>
        <w:t>, trừ trường hợp tai nạn lao động được Điều tra lại theo yêu cầu của cơ quan Bảo hiểm xã hội.</w:t>
      </w:r>
    </w:p>
    <w:p w:rsidR="00D21003" w:rsidRPr="00586509" w:rsidRDefault="00D21003" w:rsidP="00832E57">
      <w:pPr>
        <w:shd w:val="clear" w:color="auto" w:fill="FFFFFF"/>
        <w:spacing w:before="100" w:after="100" w:line="340" w:lineRule="exact"/>
        <w:ind w:firstLine="709"/>
        <w:jc w:val="both"/>
      </w:pPr>
      <w:r w:rsidRPr="00586509">
        <w:t>10. </w:t>
      </w:r>
      <w:r w:rsidRPr="00586509">
        <w:rPr>
          <w:lang w:val="vi-VN"/>
        </w:rPr>
        <w:t>Thực hiện các biện pháp khắc phục và giải quyết hậu quả do tai nạn lao động gây ra; tổ chức rút kinh nghiệm; thực hiện và báo cáo kết quả thực hiện các kiến nghị ghi trong biên bản Điều tra tai nạn lao động; xử lý theo thẩm quyền những người có lỗi để xảy ra tai nạn lao động.</w:t>
      </w:r>
    </w:p>
    <w:p w:rsidR="001D79B9" w:rsidRPr="00586509" w:rsidRDefault="001D79B9" w:rsidP="00832E57">
      <w:pPr>
        <w:shd w:val="clear" w:color="auto" w:fill="FFFFFF"/>
        <w:spacing w:before="100" w:after="100" w:line="340" w:lineRule="exact"/>
        <w:ind w:firstLine="709"/>
        <w:jc w:val="both"/>
      </w:pPr>
      <w:r w:rsidRPr="00586509">
        <w:rPr>
          <w:b/>
        </w:rPr>
        <w:t xml:space="preserve">VI. Báo cáo </w:t>
      </w:r>
      <w:r w:rsidR="00C62840" w:rsidRPr="00586509">
        <w:rPr>
          <w:b/>
        </w:rPr>
        <w:t xml:space="preserve">tình hình </w:t>
      </w:r>
      <w:r w:rsidRPr="00586509">
        <w:rPr>
          <w:b/>
        </w:rPr>
        <w:t>tai nạn lao động</w:t>
      </w:r>
      <w:r w:rsidR="00E44141" w:rsidRPr="00586509">
        <w:rPr>
          <w:b/>
        </w:rPr>
        <w:t xml:space="preserve"> </w:t>
      </w:r>
      <w:r w:rsidR="00E44141" w:rsidRPr="00586509">
        <w:rPr>
          <w:bCs/>
          <w:i/>
        </w:rPr>
        <w:t xml:space="preserve">(Điều 24 </w:t>
      </w:r>
      <w:r w:rsidR="00E44141" w:rsidRPr="00586509">
        <w:rPr>
          <w:i/>
        </w:rPr>
        <w:t>Nghị định số 39/2016/NĐ-CP)</w:t>
      </w:r>
    </w:p>
    <w:p w:rsidR="007D7331" w:rsidRPr="00586509" w:rsidRDefault="001D79B9" w:rsidP="00832E57">
      <w:pPr>
        <w:shd w:val="clear" w:color="auto" w:fill="FFFFFF"/>
        <w:spacing w:before="100" w:after="100" w:line="340" w:lineRule="exact"/>
        <w:ind w:firstLine="709"/>
        <w:jc w:val="both"/>
      </w:pPr>
      <w:r w:rsidRPr="00586509">
        <w:t>Báo cáo 6 tháng đầu năm</w:t>
      </w:r>
      <w:r w:rsidRPr="00586509">
        <w:rPr>
          <w:rFonts w:ascii="Arial" w:hAnsi="Arial" w:cs="Arial"/>
          <w:sz w:val="20"/>
          <w:szCs w:val="20"/>
          <w:shd w:val="clear" w:color="auto" w:fill="FFFFFF"/>
        </w:rPr>
        <w:t xml:space="preserve"> </w:t>
      </w:r>
      <w:r w:rsidRPr="00586509">
        <w:t>trước ngày 05/7 và báo cáo năm trước ngày 10/01 năm sau theo mẫu quy định tại </w:t>
      </w:r>
      <w:bookmarkStart w:id="26" w:name="bieumau_pl_12"/>
      <w:r w:rsidRPr="00586509">
        <w:t>Phụ lục XII</w:t>
      </w:r>
      <w:bookmarkEnd w:id="26"/>
      <w:r w:rsidRPr="00586509">
        <w:t> ban hành kèm theo Nghị định số 39/2016/NĐ-CP ngày 15/5/2016 của Chính phủ./.</w:t>
      </w:r>
    </w:p>
    <w:p w:rsidR="00E34121" w:rsidRPr="00586509" w:rsidRDefault="00E34121" w:rsidP="00CB6DC4">
      <w:pPr>
        <w:shd w:val="clear" w:color="auto" w:fill="FFFFFF"/>
        <w:spacing w:before="120"/>
        <w:ind w:firstLine="709"/>
        <w:jc w:val="both"/>
      </w:pPr>
    </w:p>
    <w:p w:rsidR="00E34121" w:rsidRPr="00586509" w:rsidRDefault="00E34121" w:rsidP="00CB6DC4">
      <w:pPr>
        <w:shd w:val="clear" w:color="auto" w:fill="FFFFFF"/>
        <w:spacing w:before="120"/>
        <w:ind w:firstLine="709"/>
        <w:jc w:val="both"/>
      </w:pPr>
    </w:p>
    <w:p w:rsidR="00E34121" w:rsidRPr="00586509" w:rsidRDefault="00E34121" w:rsidP="00CB6DC4">
      <w:pPr>
        <w:shd w:val="clear" w:color="auto" w:fill="FFFFFF"/>
        <w:spacing w:before="120"/>
        <w:ind w:firstLine="709"/>
        <w:jc w:val="both"/>
      </w:pPr>
    </w:p>
    <w:tbl>
      <w:tblPr>
        <w:tblW w:w="9813" w:type="dxa"/>
        <w:tblInd w:w="-176" w:type="dxa"/>
        <w:tblLook w:val="01E0" w:firstRow="1" w:lastRow="1" w:firstColumn="1" w:lastColumn="1" w:noHBand="0" w:noVBand="0"/>
      </w:tblPr>
      <w:tblGrid>
        <w:gridCol w:w="4537"/>
        <w:gridCol w:w="5276"/>
      </w:tblGrid>
      <w:tr w:rsidR="00586509" w:rsidRPr="00586509" w:rsidTr="00832E57">
        <w:tc>
          <w:tcPr>
            <w:tcW w:w="4537" w:type="dxa"/>
          </w:tcPr>
          <w:p w:rsidR="00832E57" w:rsidRPr="00586509" w:rsidRDefault="00E34121" w:rsidP="00E34121">
            <w:pPr>
              <w:widowControl w:val="0"/>
              <w:spacing w:before="120"/>
              <w:jc w:val="center"/>
              <w:rPr>
                <w:sz w:val="24"/>
                <w:szCs w:val="24"/>
                <w:lang w:eastAsia="vi-VN"/>
              </w:rPr>
            </w:pPr>
            <w:r w:rsidRPr="00586509">
              <w:rPr>
                <w:sz w:val="24"/>
                <w:szCs w:val="24"/>
                <w:lang w:val="vi-VN" w:eastAsia="vi-VN"/>
              </w:rPr>
              <w:t>CƠ QUAN QUẢN LÝ CẤP TRÊN</w:t>
            </w:r>
          </w:p>
          <w:p w:rsidR="00E34121" w:rsidRPr="00586509" w:rsidRDefault="00E34121" w:rsidP="00832E57">
            <w:pPr>
              <w:widowControl w:val="0"/>
              <w:jc w:val="center"/>
              <w:rPr>
                <w:b/>
                <w:sz w:val="24"/>
                <w:szCs w:val="24"/>
                <w:lang w:val="vi-VN" w:eastAsia="vi-VN"/>
              </w:rPr>
            </w:pPr>
            <w:r w:rsidRPr="00586509">
              <w:rPr>
                <w:sz w:val="24"/>
                <w:szCs w:val="24"/>
                <w:lang w:val="vi-VN" w:eastAsia="vi-VN"/>
              </w:rPr>
              <w:t>(NẾU CÓ)</w:t>
            </w:r>
            <w:r w:rsidRPr="00586509">
              <w:rPr>
                <w:sz w:val="24"/>
                <w:szCs w:val="24"/>
                <w:lang w:val="vi-VN" w:eastAsia="vi-VN"/>
              </w:rPr>
              <w:br/>
            </w:r>
            <w:r w:rsidRPr="00586509">
              <w:rPr>
                <w:b/>
                <w:sz w:val="24"/>
                <w:szCs w:val="24"/>
                <w:lang w:val="vi-VN" w:eastAsia="vi-VN"/>
              </w:rPr>
              <w:t>CƠ SỞ XẢY RA TAI NẠN LAO ĐỘNG</w:t>
            </w:r>
            <w:r w:rsidRPr="00586509">
              <w:rPr>
                <w:b/>
                <w:sz w:val="24"/>
                <w:szCs w:val="24"/>
                <w:lang w:val="vi-VN" w:eastAsia="vi-VN"/>
              </w:rPr>
              <w:br/>
              <w:t>-------</w:t>
            </w:r>
          </w:p>
        </w:tc>
        <w:tc>
          <w:tcPr>
            <w:tcW w:w="5276" w:type="dxa"/>
          </w:tcPr>
          <w:p w:rsidR="00E34121" w:rsidRPr="00586509" w:rsidRDefault="00E34121" w:rsidP="00E34121">
            <w:pPr>
              <w:widowControl w:val="0"/>
              <w:spacing w:before="120"/>
              <w:jc w:val="center"/>
              <w:rPr>
                <w:sz w:val="24"/>
                <w:szCs w:val="24"/>
                <w:lang w:val="vi-VN" w:eastAsia="vi-VN"/>
              </w:rPr>
            </w:pPr>
            <w:r w:rsidRPr="00586509">
              <w:rPr>
                <w:b/>
                <w:sz w:val="24"/>
                <w:szCs w:val="24"/>
                <w:lang w:val="vi-VN" w:eastAsia="vi-VN"/>
              </w:rPr>
              <w:t>CỘNG HÒA XÃ HỘI CHỦ NGHĨA VIỆT NAM</w:t>
            </w:r>
            <w:r w:rsidRPr="00586509">
              <w:rPr>
                <w:b/>
                <w:sz w:val="24"/>
                <w:szCs w:val="24"/>
                <w:lang w:val="vi-VN" w:eastAsia="vi-VN"/>
              </w:rPr>
              <w:br/>
              <w:t xml:space="preserve">Độc lập - Tự do - Hạnh phúc </w:t>
            </w:r>
            <w:r w:rsidRPr="00586509">
              <w:rPr>
                <w:b/>
                <w:sz w:val="24"/>
                <w:szCs w:val="24"/>
                <w:lang w:val="vi-VN" w:eastAsia="vi-VN"/>
              </w:rPr>
              <w:br/>
              <w:t>---------------</w:t>
            </w:r>
          </w:p>
        </w:tc>
      </w:tr>
      <w:tr w:rsidR="00586509" w:rsidRPr="00586509" w:rsidTr="00832E57">
        <w:tc>
          <w:tcPr>
            <w:tcW w:w="4537" w:type="dxa"/>
          </w:tcPr>
          <w:p w:rsidR="00E34121" w:rsidRPr="00586509" w:rsidRDefault="00E34121" w:rsidP="00E34121">
            <w:pPr>
              <w:widowControl w:val="0"/>
              <w:spacing w:before="120"/>
              <w:rPr>
                <w:sz w:val="24"/>
                <w:szCs w:val="24"/>
                <w:lang w:val="vi-VN" w:eastAsia="vi-VN"/>
              </w:rPr>
            </w:pPr>
            <w:r w:rsidRPr="00586509">
              <w:rPr>
                <w:sz w:val="24"/>
                <w:szCs w:val="24"/>
                <w:lang w:val="vi-VN" w:eastAsia="vi-VN"/>
              </w:rPr>
              <w:t>Địa chỉ: …………………………….</w:t>
            </w:r>
          </w:p>
          <w:p w:rsidR="00E34121" w:rsidRPr="00586509" w:rsidRDefault="00E34121" w:rsidP="00E34121">
            <w:pPr>
              <w:widowControl w:val="0"/>
              <w:spacing w:before="120"/>
              <w:rPr>
                <w:sz w:val="24"/>
                <w:szCs w:val="24"/>
                <w:lang w:val="vi-VN" w:eastAsia="vi-VN"/>
              </w:rPr>
            </w:pPr>
            <w:r w:rsidRPr="00586509">
              <w:rPr>
                <w:sz w:val="24"/>
                <w:szCs w:val="24"/>
                <w:lang w:val="vi-VN" w:eastAsia="vi-VN"/>
              </w:rPr>
              <w:t>Điện thoại/Fax: ……………………</w:t>
            </w:r>
          </w:p>
          <w:p w:rsidR="00E34121" w:rsidRPr="00586509" w:rsidRDefault="00E34121" w:rsidP="00E34121">
            <w:pPr>
              <w:widowControl w:val="0"/>
              <w:spacing w:before="120"/>
              <w:rPr>
                <w:sz w:val="24"/>
                <w:szCs w:val="24"/>
                <w:lang w:eastAsia="vi-VN"/>
              </w:rPr>
            </w:pPr>
            <w:r w:rsidRPr="00586509">
              <w:rPr>
                <w:sz w:val="24"/>
                <w:szCs w:val="24"/>
                <w:lang w:val="vi-VN" w:eastAsia="vi-VN"/>
              </w:rPr>
              <w:t>Email:</w:t>
            </w:r>
            <w:r w:rsidRPr="00586509">
              <w:rPr>
                <w:sz w:val="24"/>
                <w:szCs w:val="24"/>
                <w:lang w:eastAsia="vi-VN"/>
              </w:rPr>
              <w:t xml:space="preserve"> ………………………………</w:t>
            </w:r>
          </w:p>
        </w:tc>
        <w:tc>
          <w:tcPr>
            <w:tcW w:w="5276" w:type="dxa"/>
          </w:tcPr>
          <w:p w:rsidR="00E34121" w:rsidRPr="00586509" w:rsidRDefault="00E34121" w:rsidP="00E34121">
            <w:pPr>
              <w:widowControl w:val="0"/>
              <w:spacing w:before="120"/>
              <w:jc w:val="center"/>
              <w:rPr>
                <w:i/>
                <w:sz w:val="24"/>
                <w:szCs w:val="24"/>
                <w:lang w:eastAsia="vi-VN"/>
              </w:rPr>
            </w:pPr>
            <w:r w:rsidRPr="00586509">
              <w:rPr>
                <w:i/>
                <w:sz w:val="24"/>
                <w:szCs w:val="24"/>
                <w:lang w:eastAsia="vi-VN"/>
              </w:rPr>
              <w:t>……</w:t>
            </w:r>
            <w:r w:rsidRPr="00586509">
              <w:rPr>
                <w:i/>
                <w:sz w:val="24"/>
                <w:szCs w:val="24"/>
                <w:lang w:val="vi-VN" w:eastAsia="vi-VN"/>
              </w:rPr>
              <w:t>, ngày</w:t>
            </w:r>
            <w:r w:rsidRPr="00586509">
              <w:rPr>
                <w:i/>
                <w:sz w:val="24"/>
                <w:szCs w:val="24"/>
                <w:lang w:eastAsia="vi-VN"/>
              </w:rPr>
              <w:t xml:space="preserve"> ….</w:t>
            </w:r>
            <w:r w:rsidRPr="00586509">
              <w:rPr>
                <w:i/>
                <w:sz w:val="24"/>
                <w:szCs w:val="24"/>
                <w:lang w:val="vi-VN" w:eastAsia="vi-VN"/>
              </w:rPr>
              <w:t xml:space="preserve"> tháng</w:t>
            </w:r>
            <w:r w:rsidRPr="00586509">
              <w:rPr>
                <w:i/>
                <w:sz w:val="24"/>
                <w:szCs w:val="24"/>
                <w:lang w:eastAsia="vi-VN"/>
              </w:rPr>
              <w:t xml:space="preserve"> …. </w:t>
            </w:r>
            <w:r w:rsidRPr="00586509">
              <w:rPr>
                <w:i/>
                <w:sz w:val="24"/>
                <w:szCs w:val="24"/>
                <w:lang w:val="vi-VN" w:eastAsia="vi-VN"/>
              </w:rPr>
              <w:t>năm</w:t>
            </w:r>
            <w:r w:rsidRPr="00586509">
              <w:rPr>
                <w:i/>
                <w:sz w:val="24"/>
                <w:szCs w:val="24"/>
                <w:lang w:eastAsia="vi-VN"/>
              </w:rPr>
              <w:t>……..</w:t>
            </w:r>
          </w:p>
        </w:tc>
      </w:tr>
    </w:tbl>
    <w:p w:rsidR="00E34121" w:rsidRPr="00586509" w:rsidRDefault="00E34121" w:rsidP="00E34121">
      <w:pPr>
        <w:widowControl w:val="0"/>
        <w:spacing w:before="120"/>
        <w:rPr>
          <w:rFonts w:eastAsia="Courier New"/>
          <w:sz w:val="24"/>
          <w:szCs w:val="24"/>
          <w:lang w:eastAsia="vi-VN"/>
        </w:rPr>
      </w:pPr>
    </w:p>
    <w:p w:rsidR="00E34121" w:rsidRPr="00586509" w:rsidRDefault="00E34121" w:rsidP="00E34121">
      <w:pPr>
        <w:widowControl w:val="0"/>
        <w:spacing w:before="120"/>
        <w:jc w:val="center"/>
        <w:rPr>
          <w:rFonts w:eastAsia="Courier New"/>
          <w:b/>
          <w:sz w:val="24"/>
          <w:szCs w:val="24"/>
          <w:lang w:val="vi-VN" w:eastAsia="vi-VN"/>
        </w:rPr>
      </w:pPr>
      <w:r w:rsidRPr="00586509">
        <w:rPr>
          <w:rFonts w:eastAsia="Courier New"/>
          <w:b/>
          <w:sz w:val="24"/>
          <w:szCs w:val="24"/>
          <w:lang w:val="vi-VN" w:eastAsia="vi-VN"/>
        </w:rPr>
        <w:t>KHAI BÁO TAI NẠN LAO ĐỘNG</w:t>
      </w:r>
    </w:p>
    <w:tbl>
      <w:tblPr>
        <w:tblW w:w="0" w:type="auto"/>
        <w:tblLook w:val="01E0" w:firstRow="1" w:lastRow="1" w:firstColumn="1" w:lastColumn="1" w:noHBand="0" w:noVBand="0"/>
      </w:tblPr>
      <w:tblGrid>
        <w:gridCol w:w="2388"/>
        <w:gridCol w:w="6792"/>
      </w:tblGrid>
      <w:tr w:rsidR="00E34121" w:rsidRPr="00586509" w:rsidTr="00307D0E">
        <w:tc>
          <w:tcPr>
            <w:tcW w:w="2388" w:type="dxa"/>
          </w:tcPr>
          <w:p w:rsidR="00E34121" w:rsidRPr="00586509" w:rsidRDefault="00E34121" w:rsidP="00E34121">
            <w:pPr>
              <w:widowControl w:val="0"/>
              <w:spacing w:before="120"/>
              <w:jc w:val="right"/>
              <w:rPr>
                <w:sz w:val="24"/>
                <w:szCs w:val="24"/>
                <w:lang w:val="vi-VN" w:eastAsia="vi-VN"/>
              </w:rPr>
            </w:pPr>
            <w:r w:rsidRPr="00586509">
              <w:rPr>
                <w:sz w:val="24"/>
                <w:szCs w:val="24"/>
                <w:lang w:val="vi-VN" w:eastAsia="vi-VN"/>
              </w:rPr>
              <w:t>Kính gửi:</w:t>
            </w:r>
          </w:p>
        </w:tc>
        <w:tc>
          <w:tcPr>
            <w:tcW w:w="6792" w:type="dxa"/>
          </w:tcPr>
          <w:p w:rsidR="00E34121" w:rsidRPr="00586509" w:rsidRDefault="00E34121" w:rsidP="00E34121">
            <w:pPr>
              <w:widowControl w:val="0"/>
              <w:spacing w:before="120"/>
              <w:rPr>
                <w:sz w:val="24"/>
                <w:szCs w:val="24"/>
                <w:lang w:val="vi-VN" w:eastAsia="vi-VN"/>
              </w:rPr>
            </w:pPr>
            <w:r w:rsidRPr="00586509">
              <w:rPr>
                <w:sz w:val="24"/>
                <w:szCs w:val="24"/>
                <w:lang w:val="vi-VN" w:eastAsia="vi-VN"/>
              </w:rPr>
              <w:t xml:space="preserve">- Sở </w:t>
            </w:r>
            <w:r w:rsidRPr="00586509">
              <w:rPr>
                <w:sz w:val="24"/>
                <w:szCs w:val="24"/>
                <w:lang w:eastAsia="vi-VN"/>
              </w:rPr>
              <w:t>Nội vụ</w:t>
            </w:r>
            <w:r w:rsidRPr="00586509">
              <w:rPr>
                <w:sz w:val="24"/>
                <w:szCs w:val="24"/>
                <w:lang w:val="vi-VN" w:eastAsia="vi-VN"/>
              </w:rPr>
              <w:br/>
              <w:t xml:space="preserve">- Công an </w:t>
            </w:r>
            <w:r w:rsidRPr="00586509">
              <w:rPr>
                <w:sz w:val="24"/>
                <w:szCs w:val="24"/>
                <w:lang w:eastAsia="vi-VN"/>
              </w:rPr>
              <w:t>xã</w:t>
            </w:r>
            <w:r w:rsidRPr="00586509">
              <w:rPr>
                <w:sz w:val="24"/>
                <w:szCs w:val="24"/>
                <w:lang w:val="vi-VN" w:eastAsia="vi-VN"/>
              </w:rPr>
              <w:t xml:space="preserve"> ……</w:t>
            </w:r>
          </w:p>
        </w:tc>
      </w:tr>
    </w:tbl>
    <w:p w:rsidR="00E34121" w:rsidRPr="00586509" w:rsidRDefault="00E34121" w:rsidP="00E34121">
      <w:pPr>
        <w:widowControl w:val="0"/>
        <w:spacing w:before="120"/>
        <w:rPr>
          <w:rFonts w:eastAsia="Courier New"/>
          <w:sz w:val="24"/>
          <w:szCs w:val="24"/>
          <w:lang w:val="vi-VN" w:eastAsia="vi-VN"/>
        </w:rPr>
      </w:pPr>
    </w:p>
    <w:p w:rsidR="00E34121" w:rsidRPr="00586509" w:rsidRDefault="00E34121" w:rsidP="00E34121">
      <w:pPr>
        <w:widowControl w:val="0"/>
        <w:spacing w:before="120"/>
        <w:rPr>
          <w:rFonts w:eastAsia="Courier New"/>
          <w:b/>
          <w:sz w:val="24"/>
          <w:szCs w:val="24"/>
          <w:lang w:val="vi-VN" w:eastAsia="vi-VN"/>
        </w:rPr>
      </w:pPr>
      <w:r w:rsidRPr="00586509">
        <w:rPr>
          <w:rFonts w:eastAsia="Courier New"/>
          <w:b/>
          <w:sz w:val="24"/>
          <w:szCs w:val="24"/>
          <w:lang w:val="vi-VN" w:eastAsia="vi-VN"/>
        </w:rPr>
        <w:t>1. Thông tin về vụ tai nạn:</w:t>
      </w:r>
    </w:p>
    <w:p w:rsidR="00E34121" w:rsidRPr="00586509" w:rsidRDefault="00E34121" w:rsidP="00E34121">
      <w:pPr>
        <w:widowControl w:val="0"/>
        <w:spacing w:before="120"/>
        <w:rPr>
          <w:rFonts w:eastAsia="Courier New"/>
          <w:sz w:val="24"/>
          <w:szCs w:val="24"/>
          <w:lang w:val="vi-VN" w:eastAsia="vi-VN"/>
        </w:rPr>
      </w:pPr>
      <w:r w:rsidRPr="00586509">
        <w:rPr>
          <w:rFonts w:eastAsia="Courier New"/>
          <w:sz w:val="24"/>
          <w:szCs w:val="24"/>
          <w:lang w:val="vi-VN" w:eastAsia="vi-VN"/>
        </w:rPr>
        <w:t>- Thời gian xảy ra tai nạn: … giờ ... phút.. ngày ... tháng ... năm …;</w:t>
      </w:r>
    </w:p>
    <w:p w:rsidR="00E34121" w:rsidRPr="00586509" w:rsidRDefault="00E34121" w:rsidP="00E34121">
      <w:pPr>
        <w:widowControl w:val="0"/>
        <w:spacing w:before="120"/>
        <w:rPr>
          <w:rFonts w:eastAsia="Courier New"/>
          <w:sz w:val="24"/>
          <w:szCs w:val="24"/>
          <w:lang w:eastAsia="vi-VN"/>
        </w:rPr>
      </w:pPr>
      <w:r w:rsidRPr="00586509">
        <w:rPr>
          <w:rFonts w:eastAsia="Courier New"/>
          <w:sz w:val="24"/>
          <w:szCs w:val="24"/>
          <w:lang w:val="vi-VN" w:eastAsia="vi-VN"/>
        </w:rPr>
        <w:t>- Nơi xảy ra tai nạn: ……………………………………………………………………………</w:t>
      </w:r>
      <w:r w:rsidRPr="00586509">
        <w:rPr>
          <w:rFonts w:eastAsia="Courier New"/>
          <w:sz w:val="24"/>
          <w:szCs w:val="24"/>
          <w:lang w:eastAsia="vi-VN"/>
        </w:rPr>
        <w:t>.</w:t>
      </w:r>
    </w:p>
    <w:p w:rsidR="00E34121" w:rsidRPr="00586509" w:rsidRDefault="00E34121" w:rsidP="00E34121">
      <w:pPr>
        <w:widowControl w:val="0"/>
        <w:spacing w:before="120"/>
        <w:rPr>
          <w:rFonts w:eastAsia="Courier New"/>
          <w:sz w:val="24"/>
          <w:szCs w:val="24"/>
          <w:lang w:val="vi-VN" w:eastAsia="vi-VN"/>
        </w:rPr>
      </w:pPr>
      <w:r w:rsidRPr="00586509">
        <w:rPr>
          <w:rFonts w:eastAsia="Courier New"/>
          <w:sz w:val="24"/>
          <w:szCs w:val="24"/>
          <w:lang w:val="vi-VN" w:eastAsia="vi-VN"/>
        </w:rPr>
        <w:t>- Tóm tắt diễn biến/ hậu quả vụ tai nạn: ………………………………………………………..</w:t>
      </w:r>
    </w:p>
    <w:p w:rsidR="00E34121" w:rsidRPr="00586509" w:rsidRDefault="00E34121" w:rsidP="00E34121">
      <w:pPr>
        <w:widowControl w:val="0"/>
        <w:spacing w:before="120"/>
        <w:rPr>
          <w:rFonts w:eastAsia="Courier New"/>
          <w:sz w:val="24"/>
          <w:szCs w:val="24"/>
          <w:lang w:eastAsia="vi-VN"/>
        </w:rPr>
      </w:pPr>
      <w:r w:rsidRPr="00586509">
        <w:rPr>
          <w:rFonts w:eastAsia="Courier New"/>
          <w:sz w:val="24"/>
          <w:szCs w:val="24"/>
          <w:lang w:val="vi-VN" w:eastAsia="vi-VN"/>
        </w:rPr>
        <w:t>………………………………………………………………………………………………</w:t>
      </w:r>
      <w:r w:rsidRPr="00586509">
        <w:rPr>
          <w:rFonts w:eastAsia="Courier New"/>
          <w:sz w:val="24"/>
          <w:szCs w:val="24"/>
          <w:lang w:eastAsia="vi-VN"/>
        </w:rPr>
        <w:t>…...</w:t>
      </w:r>
    </w:p>
    <w:p w:rsidR="00E34121" w:rsidRPr="00586509" w:rsidRDefault="00E34121" w:rsidP="00E34121">
      <w:pPr>
        <w:widowControl w:val="0"/>
        <w:spacing w:before="120"/>
        <w:rPr>
          <w:rFonts w:eastAsia="Courier New"/>
          <w:b/>
          <w:sz w:val="24"/>
          <w:szCs w:val="24"/>
          <w:lang w:val="vi-VN" w:eastAsia="vi-VN"/>
        </w:rPr>
      </w:pPr>
      <w:r w:rsidRPr="00586509">
        <w:rPr>
          <w:rFonts w:eastAsia="Courier New"/>
          <w:b/>
          <w:sz w:val="24"/>
          <w:szCs w:val="24"/>
          <w:lang w:val="vi-VN" w:eastAsia="vi-VN"/>
        </w:rPr>
        <w:t>2. Thông tin về các nạn nhân: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71"/>
        <w:gridCol w:w="1986"/>
        <w:gridCol w:w="940"/>
        <w:gridCol w:w="1040"/>
        <w:gridCol w:w="1561"/>
        <w:gridCol w:w="2880"/>
      </w:tblGrid>
      <w:tr w:rsidR="00586509" w:rsidRPr="00586509" w:rsidTr="00307D0E">
        <w:tc>
          <w:tcPr>
            <w:tcW w:w="369" w:type="pct"/>
            <w:shd w:val="clear" w:color="auto" w:fill="auto"/>
            <w:vAlign w:val="center"/>
          </w:tcPr>
          <w:p w:rsidR="00E34121" w:rsidRPr="00586509" w:rsidRDefault="00E34121" w:rsidP="00E34121">
            <w:pPr>
              <w:widowControl w:val="0"/>
              <w:spacing w:before="120"/>
              <w:jc w:val="center"/>
              <w:rPr>
                <w:rFonts w:eastAsia="Courier New"/>
                <w:b/>
                <w:sz w:val="24"/>
                <w:szCs w:val="24"/>
                <w:lang w:val="vi-VN" w:eastAsia="vi-VN"/>
              </w:rPr>
            </w:pPr>
            <w:r w:rsidRPr="00586509">
              <w:rPr>
                <w:rFonts w:eastAsia="Courier New"/>
                <w:b/>
                <w:sz w:val="24"/>
                <w:szCs w:val="24"/>
                <w:lang w:val="vi-VN" w:eastAsia="vi-VN"/>
              </w:rPr>
              <w:t>TT</w:t>
            </w:r>
          </w:p>
        </w:tc>
        <w:tc>
          <w:tcPr>
            <w:tcW w:w="1094" w:type="pct"/>
            <w:shd w:val="clear" w:color="auto" w:fill="auto"/>
            <w:vAlign w:val="center"/>
          </w:tcPr>
          <w:p w:rsidR="00E34121" w:rsidRPr="00586509" w:rsidRDefault="00E34121" w:rsidP="00E34121">
            <w:pPr>
              <w:widowControl w:val="0"/>
              <w:spacing w:before="120"/>
              <w:jc w:val="center"/>
              <w:rPr>
                <w:rFonts w:eastAsia="Courier New"/>
                <w:b/>
                <w:sz w:val="24"/>
                <w:szCs w:val="24"/>
                <w:lang w:val="vi-VN" w:eastAsia="vi-VN"/>
              </w:rPr>
            </w:pPr>
            <w:r w:rsidRPr="00586509">
              <w:rPr>
                <w:rFonts w:eastAsia="Courier New"/>
                <w:b/>
                <w:sz w:val="24"/>
                <w:szCs w:val="24"/>
                <w:lang w:val="vi-VN" w:eastAsia="vi-VN"/>
              </w:rPr>
              <w:t>Họ và tên nạn  nhân</w:t>
            </w:r>
          </w:p>
        </w:tc>
        <w:tc>
          <w:tcPr>
            <w:tcW w:w="518" w:type="pct"/>
            <w:shd w:val="clear" w:color="auto" w:fill="auto"/>
            <w:vAlign w:val="center"/>
          </w:tcPr>
          <w:p w:rsidR="00E34121" w:rsidRPr="00586509" w:rsidRDefault="00E34121" w:rsidP="00E34121">
            <w:pPr>
              <w:widowControl w:val="0"/>
              <w:spacing w:before="120"/>
              <w:jc w:val="center"/>
              <w:rPr>
                <w:rFonts w:eastAsia="Courier New"/>
                <w:b/>
                <w:sz w:val="24"/>
                <w:szCs w:val="24"/>
                <w:lang w:val="vi-VN" w:eastAsia="vi-VN"/>
              </w:rPr>
            </w:pPr>
            <w:r w:rsidRPr="00586509">
              <w:rPr>
                <w:rFonts w:eastAsia="Courier New"/>
                <w:b/>
                <w:sz w:val="24"/>
                <w:szCs w:val="24"/>
                <w:lang w:val="vi-VN" w:eastAsia="vi-VN"/>
              </w:rPr>
              <w:t>Năm</w:t>
            </w:r>
            <w:r w:rsidRPr="00586509">
              <w:rPr>
                <w:rFonts w:eastAsia="Courier New"/>
                <w:b/>
                <w:sz w:val="24"/>
                <w:szCs w:val="24"/>
                <w:lang w:eastAsia="vi-VN"/>
              </w:rPr>
              <w:t xml:space="preserve"> </w:t>
            </w:r>
            <w:r w:rsidRPr="00586509">
              <w:rPr>
                <w:rFonts w:eastAsia="Courier New"/>
                <w:b/>
                <w:sz w:val="24"/>
                <w:szCs w:val="24"/>
                <w:lang w:val="vi-VN" w:eastAsia="vi-VN"/>
              </w:rPr>
              <w:t>sinh</w:t>
            </w:r>
          </w:p>
        </w:tc>
        <w:tc>
          <w:tcPr>
            <w:tcW w:w="573" w:type="pct"/>
            <w:shd w:val="clear" w:color="auto" w:fill="auto"/>
            <w:vAlign w:val="center"/>
          </w:tcPr>
          <w:p w:rsidR="00E34121" w:rsidRPr="00586509" w:rsidRDefault="00E34121" w:rsidP="00E34121">
            <w:pPr>
              <w:widowControl w:val="0"/>
              <w:spacing w:before="120"/>
              <w:jc w:val="center"/>
              <w:rPr>
                <w:rFonts w:eastAsia="Courier New"/>
                <w:b/>
                <w:sz w:val="24"/>
                <w:szCs w:val="24"/>
                <w:lang w:val="vi-VN" w:eastAsia="vi-VN"/>
              </w:rPr>
            </w:pPr>
            <w:r w:rsidRPr="00586509">
              <w:rPr>
                <w:rFonts w:eastAsia="Courier New"/>
                <w:b/>
                <w:sz w:val="24"/>
                <w:szCs w:val="24"/>
                <w:lang w:val="vi-VN" w:eastAsia="vi-VN"/>
              </w:rPr>
              <w:t>Gi</w:t>
            </w:r>
            <w:r w:rsidRPr="00586509">
              <w:rPr>
                <w:rFonts w:eastAsia="Courier New"/>
                <w:b/>
                <w:sz w:val="24"/>
                <w:szCs w:val="24"/>
                <w:lang w:eastAsia="vi-VN"/>
              </w:rPr>
              <w:t>ớ</w:t>
            </w:r>
            <w:r w:rsidRPr="00586509">
              <w:rPr>
                <w:rFonts w:eastAsia="Courier New"/>
                <w:b/>
                <w:sz w:val="24"/>
                <w:szCs w:val="24"/>
                <w:lang w:val="vi-VN" w:eastAsia="vi-VN"/>
              </w:rPr>
              <w:t>i</w:t>
            </w:r>
            <w:r w:rsidRPr="00586509">
              <w:rPr>
                <w:rFonts w:eastAsia="Courier New"/>
                <w:b/>
                <w:sz w:val="24"/>
                <w:szCs w:val="24"/>
                <w:lang w:eastAsia="vi-VN"/>
              </w:rPr>
              <w:t xml:space="preserve"> </w:t>
            </w:r>
            <w:r w:rsidRPr="00586509">
              <w:rPr>
                <w:rFonts w:eastAsia="Courier New"/>
                <w:b/>
                <w:sz w:val="24"/>
                <w:szCs w:val="24"/>
                <w:lang w:val="vi-VN" w:eastAsia="vi-VN"/>
              </w:rPr>
              <w:t>tính</w:t>
            </w:r>
          </w:p>
        </w:tc>
        <w:tc>
          <w:tcPr>
            <w:tcW w:w="860" w:type="pct"/>
            <w:shd w:val="clear" w:color="auto" w:fill="auto"/>
            <w:vAlign w:val="center"/>
          </w:tcPr>
          <w:p w:rsidR="00E34121" w:rsidRPr="00586509" w:rsidRDefault="00E34121" w:rsidP="00E34121">
            <w:pPr>
              <w:widowControl w:val="0"/>
              <w:spacing w:before="120"/>
              <w:jc w:val="center"/>
              <w:rPr>
                <w:rFonts w:eastAsia="Courier New"/>
                <w:b/>
                <w:sz w:val="24"/>
                <w:szCs w:val="24"/>
                <w:lang w:eastAsia="vi-VN"/>
              </w:rPr>
            </w:pPr>
            <w:r w:rsidRPr="00586509">
              <w:rPr>
                <w:rFonts w:eastAsia="Courier New"/>
                <w:b/>
                <w:sz w:val="24"/>
                <w:szCs w:val="24"/>
                <w:lang w:val="vi-VN" w:eastAsia="vi-VN"/>
              </w:rPr>
              <w:t>Nghề nghiệp</w:t>
            </w:r>
          </w:p>
        </w:tc>
        <w:tc>
          <w:tcPr>
            <w:tcW w:w="1586" w:type="pct"/>
            <w:shd w:val="clear" w:color="auto" w:fill="auto"/>
            <w:vAlign w:val="center"/>
          </w:tcPr>
          <w:p w:rsidR="00E34121" w:rsidRPr="00586509" w:rsidRDefault="00E34121" w:rsidP="00E34121">
            <w:pPr>
              <w:widowControl w:val="0"/>
              <w:spacing w:before="120"/>
              <w:jc w:val="center"/>
              <w:rPr>
                <w:rFonts w:eastAsia="Courier New"/>
                <w:b/>
                <w:sz w:val="24"/>
                <w:szCs w:val="24"/>
                <w:lang w:val="vi-VN" w:eastAsia="vi-VN"/>
              </w:rPr>
            </w:pPr>
            <w:r w:rsidRPr="00586509">
              <w:rPr>
                <w:rFonts w:eastAsia="Courier New"/>
                <w:b/>
                <w:sz w:val="24"/>
                <w:szCs w:val="24"/>
                <w:lang w:val="vi-VN" w:eastAsia="vi-VN"/>
              </w:rPr>
              <w:t>Tình trạng tai nạn</w:t>
            </w:r>
            <w:r w:rsidRPr="00586509">
              <w:rPr>
                <w:rFonts w:eastAsia="Courier New"/>
                <w:b/>
                <w:sz w:val="24"/>
                <w:szCs w:val="24"/>
                <w:lang w:val="vi-VN" w:eastAsia="vi-VN"/>
              </w:rPr>
              <w:br/>
              <w:t>(chết/bị thương nặng/nhẹ)</w:t>
            </w:r>
          </w:p>
        </w:tc>
      </w:tr>
      <w:tr w:rsidR="00586509" w:rsidRPr="00586509" w:rsidTr="00307D0E">
        <w:tc>
          <w:tcPr>
            <w:tcW w:w="369"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r w:rsidRPr="00586509">
              <w:rPr>
                <w:rFonts w:eastAsia="Courier New"/>
                <w:sz w:val="24"/>
                <w:szCs w:val="24"/>
                <w:lang w:val="vi-VN" w:eastAsia="vi-VN"/>
              </w:rPr>
              <w:t>1</w:t>
            </w:r>
          </w:p>
        </w:tc>
        <w:tc>
          <w:tcPr>
            <w:tcW w:w="1094"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518"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573"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860"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1586"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r>
      <w:tr w:rsidR="00586509" w:rsidRPr="00586509" w:rsidTr="00307D0E">
        <w:tc>
          <w:tcPr>
            <w:tcW w:w="369"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r w:rsidRPr="00586509">
              <w:rPr>
                <w:rFonts w:eastAsia="Courier New"/>
                <w:sz w:val="24"/>
                <w:szCs w:val="24"/>
                <w:lang w:val="vi-VN" w:eastAsia="vi-VN"/>
              </w:rPr>
              <w:t>2</w:t>
            </w:r>
          </w:p>
        </w:tc>
        <w:tc>
          <w:tcPr>
            <w:tcW w:w="1094"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518"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573"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860"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1586"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r>
      <w:tr w:rsidR="00586509" w:rsidRPr="00586509" w:rsidTr="00307D0E">
        <w:tc>
          <w:tcPr>
            <w:tcW w:w="369"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r w:rsidRPr="00586509">
              <w:rPr>
                <w:rFonts w:eastAsia="Courier New"/>
                <w:sz w:val="24"/>
                <w:szCs w:val="24"/>
                <w:lang w:val="vi-VN" w:eastAsia="vi-VN"/>
              </w:rPr>
              <w:t>3</w:t>
            </w:r>
          </w:p>
        </w:tc>
        <w:tc>
          <w:tcPr>
            <w:tcW w:w="1094"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518"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573"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860"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1586"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r>
      <w:tr w:rsidR="00586509" w:rsidRPr="00586509" w:rsidTr="00307D0E">
        <w:tc>
          <w:tcPr>
            <w:tcW w:w="369"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r w:rsidRPr="00586509">
              <w:rPr>
                <w:rFonts w:eastAsia="Courier New"/>
                <w:sz w:val="24"/>
                <w:szCs w:val="24"/>
                <w:lang w:val="vi-VN" w:eastAsia="vi-VN"/>
              </w:rPr>
              <w:t>4</w:t>
            </w:r>
          </w:p>
        </w:tc>
        <w:tc>
          <w:tcPr>
            <w:tcW w:w="1094" w:type="pct"/>
            <w:shd w:val="clear" w:color="auto" w:fill="auto"/>
            <w:vAlign w:val="center"/>
          </w:tcPr>
          <w:p w:rsidR="00E34121" w:rsidRPr="00586509" w:rsidRDefault="00E34121" w:rsidP="00E34121">
            <w:pPr>
              <w:widowControl w:val="0"/>
              <w:spacing w:before="120"/>
              <w:rPr>
                <w:rFonts w:eastAsia="Courier New"/>
                <w:sz w:val="24"/>
                <w:szCs w:val="24"/>
                <w:lang w:eastAsia="vi-VN"/>
              </w:rPr>
            </w:pPr>
            <w:r w:rsidRPr="00586509">
              <w:rPr>
                <w:rFonts w:eastAsia="Courier New"/>
                <w:sz w:val="24"/>
                <w:szCs w:val="24"/>
                <w:lang w:eastAsia="vi-VN"/>
              </w:rPr>
              <w:t>….</w:t>
            </w:r>
          </w:p>
        </w:tc>
        <w:tc>
          <w:tcPr>
            <w:tcW w:w="518"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573"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860"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c>
          <w:tcPr>
            <w:tcW w:w="1586" w:type="pct"/>
            <w:shd w:val="clear" w:color="auto" w:fill="auto"/>
            <w:vAlign w:val="center"/>
          </w:tcPr>
          <w:p w:rsidR="00E34121" w:rsidRPr="00586509" w:rsidRDefault="00E34121" w:rsidP="00E34121">
            <w:pPr>
              <w:widowControl w:val="0"/>
              <w:spacing w:before="120"/>
              <w:jc w:val="center"/>
              <w:rPr>
                <w:rFonts w:eastAsia="Courier New"/>
                <w:sz w:val="24"/>
                <w:szCs w:val="24"/>
                <w:lang w:val="vi-VN" w:eastAsia="vi-VN"/>
              </w:rPr>
            </w:pPr>
          </w:p>
        </w:tc>
      </w:tr>
    </w:tbl>
    <w:p w:rsidR="00E34121" w:rsidRPr="00586509" w:rsidRDefault="00E34121" w:rsidP="00E34121">
      <w:pPr>
        <w:widowControl w:val="0"/>
        <w:spacing w:before="120"/>
        <w:rPr>
          <w:rFonts w:eastAsia="Courier New"/>
          <w:sz w:val="24"/>
          <w:szCs w:val="24"/>
          <w:lang w:eastAsia="vi-VN"/>
        </w:rPr>
      </w:pPr>
    </w:p>
    <w:tbl>
      <w:tblPr>
        <w:tblW w:w="0" w:type="auto"/>
        <w:tblLook w:val="01E0" w:firstRow="1" w:lastRow="1" w:firstColumn="1" w:lastColumn="1" w:noHBand="0" w:noVBand="0"/>
      </w:tblPr>
      <w:tblGrid>
        <w:gridCol w:w="4428"/>
        <w:gridCol w:w="4752"/>
      </w:tblGrid>
      <w:tr w:rsidR="00E34121" w:rsidRPr="00586509" w:rsidTr="00307D0E">
        <w:tc>
          <w:tcPr>
            <w:tcW w:w="4428" w:type="dxa"/>
          </w:tcPr>
          <w:p w:rsidR="00E34121" w:rsidRPr="00586509" w:rsidRDefault="00E34121" w:rsidP="00E34121">
            <w:pPr>
              <w:widowControl w:val="0"/>
              <w:spacing w:before="120"/>
              <w:rPr>
                <w:sz w:val="24"/>
                <w:szCs w:val="24"/>
                <w:lang w:eastAsia="vi-VN"/>
              </w:rPr>
            </w:pPr>
          </w:p>
        </w:tc>
        <w:tc>
          <w:tcPr>
            <w:tcW w:w="4752" w:type="dxa"/>
          </w:tcPr>
          <w:p w:rsidR="00E34121" w:rsidRPr="00586509" w:rsidRDefault="00E34121" w:rsidP="00E34121">
            <w:pPr>
              <w:widowControl w:val="0"/>
              <w:spacing w:before="120"/>
              <w:jc w:val="center"/>
              <w:rPr>
                <w:sz w:val="24"/>
                <w:szCs w:val="24"/>
                <w:lang w:eastAsia="vi-VN"/>
              </w:rPr>
            </w:pPr>
            <w:r w:rsidRPr="00586509">
              <w:rPr>
                <w:b/>
                <w:sz w:val="24"/>
                <w:szCs w:val="24"/>
                <w:lang w:val="vi-VN" w:eastAsia="vi-VN"/>
              </w:rPr>
              <w:t>NGƯỜI KHAI BÁO</w:t>
            </w:r>
            <w:r w:rsidRPr="00586509">
              <w:rPr>
                <w:b/>
                <w:sz w:val="24"/>
                <w:szCs w:val="24"/>
                <w:lang w:eastAsia="vi-VN"/>
              </w:rPr>
              <w:br/>
            </w:r>
            <w:r w:rsidRPr="00586509">
              <w:rPr>
                <w:i/>
                <w:sz w:val="24"/>
                <w:szCs w:val="24"/>
                <w:lang w:val="vi-VN" w:eastAsia="vi-VN"/>
              </w:rPr>
              <w:t>(K</w:t>
            </w:r>
            <w:r w:rsidRPr="00586509">
              <w:rPr>
                <w:i/>
                <w:sz w:val="24"/>
                <w:szCs w:val="24"/>
                <w:lang w:eastAsia="vi-VN"/>
              </w:rPr>
              <w:t>ý</w:t>
            </w:r>
            <w:r w:rsidRPr="00586509">
              <w:rPr>
                <w:i/>
                <w:sz w:val="24"/>
                <w:szCs w:val="24"/>
                <w:lang w:val="vi-VN" w:eastAsia="vi-VN"/>
              </w:rPr>
              <w:t>, ghi rõ họ tên, chức vụ)</w:t>
            </w:r>
          </w:p>
        </w:tc>
      </w:tr>
    </w:tbl>
    <w:p w:rsidR="00E34121" w:rsidRPr="00586509" w:rsidRDefault="00E34121" w:rsidP="00E34121">
      <w:pPr>
        <w:widowControl w:val="0"/>
        <w:spacing w:before="120"/>
        <w:rPr>
          <w:rFonts w:eastAsia="Courier New"/>
          <w:sz w:val="24"/>
          <w:szCs w:val="24"/>
          <w:lang w:eastAsia="vi-VN"/>
        </w:rPr>
      </w:pPr>
    </w:p>
    <w:p w:rsidR="00E34121" w:rsidRPr="00586509" w:rsidRDefault="00E34121" w:rsidP="00CB6DC4">
      <w:pPr>
        <w:shd w:val="clear" w:color="auto" w:fill="FFFFFF"/>
        <w:spacing w:before="120"/>
        <w:ind w:firstLine="709"/>
        <w:jc w:val="both"/>
      </w:pPr>
    </w:p>
    <w:p w:rsidR="00015AC3" w:rsidRPr="00586509" w:rsidRDefault="00015AC3" w:rsidP="00CB6DC4">
      <w:pPr>
        <w:spacing w:before="120"/>
        <w:ind w:firstLine="709"/>
        <w:jc w:val="both"/>
        <w:rPr>
          <w:lang w:val="vi-VN"/>
        </w:rPr>
      </w:pPr>
    </w:p>
    <w:sectPr w:rsidR="00015AC3" w:rsidRPr="00586509" w:rsidSect="00832E57">
      <w:headerReference w:type="default" r:id="rId8"/>
      <w:pgSz w:w="11907" w:h="16840" w:code="9"/>
      <w:pgMar w:top="1134" w:right="1134" w:bottom="851"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AF" w:rsidRDefault="006516AF" w:rsidP="000322ED">
      <w:r>
        <w:separator/>
      </w:r>
    </w:p>
  </w:endnote>
  <w:endnote w:type="continuationSeparator" w:id="0">
    <w:p w:rsidR="006516AF" w:rsidRDefault="006516AF" w:rsidP="0003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AF" w:rsidRDefault="006516AF" w:rsidP="000322ED">
      <w:r>
        <w:separator/>
      </w:r>
    </w:p>
  </w:footnote>
  <w:footnote w:type="continuationSeparator" w:id="0">
    <w:p w:rsidR="006516AF" w:rsidRDefault="006516AF" w:rsidP="00032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328860"/>
      <w:docPartObj>
        <w:docPartGallery w:val="Page Numbers (Top of Page)"/>
        <w:docPartUnique/>
      </w:docPartObj>
    </w:sdtPr>
    <w:sdtEndPr>
      <w:rPr>
        <w:noProof/>
      </w:rPr>
    </w:sdtEndPr>
    <w:sdtContent>
      <w:p w:rsidR="001E4E02" w:rsidRDefault="001E4E02">
        <w:pPr>
          <w:pStyle w:val="Header"/>
          <w:jc w:val="center"/>
        </w:pPr>
        <w:r>
          <w:fldChar w:fldCharType="begin"/>
        </w:r>
        <w:r>
          <w:instrText xml:space="preserve"> PAGE   \* MERGEFORMAT </w:instrText>
        </w:r>
        <w:r>
          <w:fldChar w:fldCharType="separate"/>
        </w:r>
        <w:r w:rsidR="00586509">
          <w:rPr>
            <w:noProof/>
          </w:rPr>
          <w:t>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E5D"/>
    <w:multiLevelType w:val="hybridMultilevel"/>
    <w:tmpl w:val="7B6666E4"/>
    <w:lvl w:ilvl="0" w:tplc="BBCC3540">
      <w:start w:val="1"/>
      <w:numFmt w:val="bullet"/>
      <w:lvlText w:val="•"/>
      <w:lvlJc w:val="left"/>
      <w:pPr>
        <w:tabs>
          <w:tab w:val="num" w:pos="720"/>
        </w:tabs>
        <w:ind w:left="720" w:hanging="360"/>
      </w:pPr>
      <w:rPr>
        <w:rFonts w:ascii="Times New Roman" w:hAnsi="Times New Roman" w:hint="default"/>
      </w:rPr>
    </w:lvl>
    <w:lvl w:ilvl="1" w:tplc="618EF4E2" w:tentative="1">
      <w:start w:val="1"/>
      <w:numFmt w:val="bullet"/>
      <w:lvlText w:val="•"/>
      <w:lvlJc w:val="left"/>
      <w:pPr>
        <w:tabs>
          <w:tab w:val="num" w:pos="1440"/>
        </w:tabs>
        <w:ind w:left="1440" w:hanging="360"/>
      </w:pPr>
      <w:rPr>
        <w:rFonts w:ascii="Times New Roman" w:hAnsi="Times New Roman" w:hint="default"/>
      </w:rPr>
    </w:lvl>
    <w:lvl w:ilvl="2" w:tplc="314EC2BC" w:tentative="1">
      <w:start w:val="1"/>
      <w:numFmt w:val="bullet"/>
      <w:lvlText w:val="•"/>
      <w:lvlJc w:val="left"/>
      <w:pPr>
        <w:tabs>
          <w:tab w:val="num" w:pos="2160"/>
        </w:tabs>
        <w:ind w:left="2160" w:hanging="360"/>
      </w:pPr>
      <w:rPr>
        <w:rFonts w:ascii="Times New Roman" w:hAnsi="Times New Roman" w:hint="default"/>
      </w:rPr>
    </w:lvl>
    <w:lvl w:ilvl="3" w:tplc="4EBA9542" w:tentative="1">
      <w:start w:val="1"/>
      <w:numFmt w:val="bullet"/>
      <w:lvlText w:val="•"/>
      <w:lvlJc w:val="left"/>
      <w:pPr>
        <w:tabs>
          <w:tab w:val="num" w:pos="2880"/>
        </w:tabs>
        <w:ind w:left="2880" w:hanging="360"/>
      </w:pPr>
      <w:rPr>
        <w:rFonts w:ascii="Times New Roman" w:hAnsi="Times New Roman" w:hint="default"/>
      </w:rPr>
    </w:lvl>
    <w:lvl w:ilvl="4" w:tplc="8E747C0A" w:tentative="1">
      <w:start w:val="1"/>
      <w:numFmt w:val="bullet"/>
      <w:lvlText w:val="•"/>
      <w:lvlJc w:val="left"/>
      <w:pPr>
        <w:tabs>
          <w:tab w:val="num" w:pos="3600"/>
        </w:tabs>
        <w:ind w:left="3600" w:hanging="360"/>
      </w:pPr>
      <w:rPr>
        <w:rFonts w:ascii="Times New Roman" w:hAnsi="Times New Roman" w:hint="default"/>
      </w:rPr>
    </w:lvl>
    <w:lvl w:ilvl="5" w:tplc="2E582C0C" w:tentative="1">
      <w:start w:val="1"/>
      <w:numFmt w:val="bullet"/>
      <w:lvlText w:val="•"/>
      <w:lvlJc w:val="left"/>
      <w:pPr>
        <w:tabs>
          <w:tab w:val="num" w:pos="4320"/>
        </w:tabs>
        <w:ind w:left="4320" w:hanging="360"/>
      </w:pPr>
      <w:rPr>
        <w:rFonts w:ascii="Times New Roman" w:hAnsi="Times New Roman" w:hint="default"/>
      </w:rPr>
    </w:lvl>
    <w:lvl w:ilvl="6" w:tplc="2BD8417E" w:tentative="1">
      <w:start w:val="1"/>
      <w:numFmt w:val="bullet"/>
      <w:lvlText w:val="•"/>
      <w:lvlJc w:val="left"/>
      <w:pPr>
        <w:tabs>
          <w:tab w:val="num" w:pos="5040"/>
        </w:tabs>
        <w:ind w:left="5040" w:hanging="360"/>
      </w:pPr>
      <w:rPr>
        <w:rFonts w:ascii="Times New Roman" w:hAnsi="Times New Roman" w:hint="default"/>
      </w:rPr>
    </w:lvl>
    <w:lvl w:ilvl="7" w:tplc="F7727146" w:tentative="1">
      <w:start w:val="1"/>
      <w:numFmt w:val="bullet"/>
      <w:lvlText w:val="•"/>
      <w:lvlJc w:val="left"/>
      <w:pPr>
        <w:tabs>
          <w:tab w:val="num" w:pos="5760"/>
        </w:tabs>
        <w:ind w:left="5760" w:hanging="360"/>
      </w:pPr>
      <w:rPr>
        <w:rFonts w:ascii="Times New Roman" w:hAnsi="Times New Roman" w:hint="default"/>
      </w:rPr>
    </w:lvl>
    <w:lvl w:ilvl="8" w:tplc="F0DE21A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1E"/>
    <w:rsid w:val="000079AA"/>
    <w:rsid w:val="00007B77"/>
    <w:rsid w:val="00015AC3"/>
    <w:rsid w:val="0001665A"/>
    <w:rsid w:val="000265B1"/>
    <w:rsid w:val="000322ED"/>
    <w:rsid w:val="00064E92"/>
    <w:rsid w:val="000652A0"/>
    <w:rsid w:val="00080ED8"/>
    <w:rsid w:val="00082434"/>
    <w:rsid w:val="0009173C"/>
    <w:rsid w:val="00093EE2"/>
    <w:rsid w:val="00097F41"/>
    <w:rsid w:val="000C3745"/>
    <w:rsid w:val="000C70D2"/>
    <w:rsid w:val="000D698A"/>
    <w:rsid w:val="000D7CCE"/>
    <w:rsid w:val="000F11C2"/>
    <w:rsid w:val="00110A9B"/>
    <w:rsid w:val="00111446"/>
    <w:rsid w:val="0011530B"/>
    <w:rsid w:val="00117954"/>
    <w:rsid w:val="00125D30"/>
    <w:rsid w:val="00137436"/>
    <w:rsid w:val="00142934"/>
    <w:rsid w:val="00151578"/>
    <w:rsid w:val="00163612"/>
    <w:rsid w:val="00181F15"/>
    <w:rsid w:val="001944FA"/>
    <w:rsid w:val="001A4BB5"/>
    <w:rsid w:val="001B5B77"/>
    <w:rsid w:val="001B7F1B"/>
    <w:rsid w:val="001C16E5"/>
    <w:rsid w:val="001C4389"/>
    <w:rsid w:val="001C7232"/>
    <w:rsid w:val="001D79B9"/>
    <w:rsid w:val="001E4E02"/>
    <w:rsid w:val="001E521E"/>
    <w:rsid w:val="002262C7"/>
    <w:rsid w:val="002330A7"/>
    <w:rsid w:val="00233C15"/>
    <w:rsid w:val="002439A3"/>
    <w:rsid w:val="00247C4B"/>
    <w:rsid w:val="00260856"/>
    <w:rsid w:val="00295005"/>
    <w:rsid w:val="00296896"/>
    <w:rsid w:val="002B66FB"/>
    <w:rsid w:val="002C4937"/>
    <w:rsid w:val="002C4B5A"/>
    <w:rsid w:val="002D16C5"/>
    <w:rsid w:val="002E3175"/>
    <w:rsid w:val="002F4B9C"/>
    <w:rsid w:val="003044FE"/>
    <w:rsid w:val="00304F3F"/>
    <w:rsid w:val="003053DC"/>
    <w:rsid w:val="00313A59"/>
    <w:rsid w:val="00316CAE"/>
    <w:rsid w:val="0032347C"/>
    <w:rsid w:val="003270D9"/>
    <w:rsid w:val="00327FDB"/>
    <w:rsid w:val="003310B1"/>
    <w:rsid w:val="00333C2E"/>
    <w:rsid w:val="00376A1C"/>
    <w:rsid w:val="00387F92"/>
    <w:rsid w:val="00396038"/>
    <w:rsid w:val="003A73A7"/>
    <w:rsid w:val="003B1EDB"/>
    <w:rsid w:val="003C154F"/>
    <w:rsid w:val="003D2A85"/>
    <w:rsid w:val="003D3E9D"/>
    <w:rsid w:val="003E55A6"/>
    <w:rsid w:val="00402931"/>
    <w:rsid w:val="00415312"/>
    <w:rsid w:val="00423EEC"/>
    <w:rsid w:val="004337EB"/>
    <w:rsid w:val="00444CFC"/>
    <w:rsid w:val="004536AD"/>
    <w:rsid w:val="004626C1"/>
    <w:rsid w:val="004A37D3"/>
    <w:rsid w:val="004A39D6"/>
    <w:rsid w:val="004D0E33"/>
    <w:rsid w:val="004E092C"/>
    <w:rsid w:val="00501DB5"/>
    <w:rsid w:val="00517701"/>
    <w:rsid w:val="00517872"/>
    <w:rsid w:val="00521CF7"/>
    <w:rsid w:val="005233D3"/>
    <w:rsid w:val="00535251"/>
    <w:rsid w:val="005361F8"/>
    <w:rsid w:val="00560CC7"/>
    <w:rsid w:val="00560DBB"/>
    <w:rsid w:val="00573D58"/>
    <w:rsid w:val="0058267D"/>
    <w:rsid w:val="00586509"/>
    <w:rsid w:val="00586CE2"/>
    <w:rsid w:val="00587EBF"/>
    <w:rsid w:val="005A44DB"/>
    <w:rsid w:val="005B673D"/>
    <w:rsid w:val="005B6A51"/>
    <w:rsid w:val="005B6CB9"/>
    <w:rsid w:val="005C4C6A"/>
    <w:rsid w:val="006516AF"/>
    <w:rsid w:val="00654A6C"/>
    <w:rsid w:val="006738AF"/>
    <w:rsid w:val="00685230"/>
    <w:rsid w:val="00692C59"/>
    <w:rsid w:val="006A334D"/>
    <w:rsid w:val="006B1709"/>
    <w:rsid w:val="006C239D"/>
    <w:rsid w:val="006C33BF"/>
    <w:rsid w:val="006D3E73"/>
    <w:rsid w:val="006D5695"/>
    <w:rsid w:val="006F0306"/>
    <w:rsid w:val="006F3441"/>
    <w:rsid w:val="006F5EF5"/>
    <w:rsid w:val="00707558"/>
    <w:rsid w:val="00713B1E"/>
    <w:rsid w:val="00717C07"/>
    <w:rsid w:val="007203D0"/>
    <w:rsid w:val="007221FC"/>
    <w:rsid w:val="007373C6"/>
    <w:rsid w:val="00743C3D"/>
    <w:rsid w:val="00754B88"/>
    <w:rsid w:val="00760674"/>
    <w:rsid w:val="00761CC5"/>
    <w:rsid w:val="00772398"/>
    <w:rsid w:val="007741A3"/>
    <w:rsid w:val="00793D53"/>
    <w:rsid w:val="00797265"/>
    <w:rsid w:val="007A4357"/>
    <w:rsid w:val="007A53F8"/>
    <w:rsid w:val="007A59FB"/>
    <w:rsid w:val="007C467C"/>
    <w:rsid w:val="007C5BB3"/>
    <w:rsid w:val="007D7331"/>
    <w:rsid w:val="007E1465"/>
    <w:rsid w:val="007E49AB"/>
    <w:rsid w:val="008111DD"/>
    <w:rsid w:val="00826A6D"/>
    <w:rsid w:val="00832E57"/>
    <w:rsid w:val="00846E60"/>
    <w:rsid w:val="008602AF"/>
    <w:rsid w:val="00873755"/>
    <w:rsid w:val="00877B0D"/>
    <w:rsid w:val="00887AA4"/>
    <w:rsid w:val="00895163"/>
    <w:rsid w:val="008A20E6"/>
    <w:rsid w:val="008A27BD"/>
    <w:rsid w:val="008A4131"/>
    <w:rsid w:val="008B75F8"/>
    <w:rsid w:val="008E7B94"/>
    <w:rsid w:val="0090013F"/>
    <w:rsid w:val="0090792C"/>
    <w:rsid w:val="00914719"/>
    <w:rsid w:val="0091626C"/>
    <w:rsid w:val="00922444"/>
    <w:rsid w:val="0093445B"/>
    <w:rsid w:val="00936759"/>
    <w:rsid w:val="00964112"/>
    <w:rsid w:val="00964256"/>
    <w:rsid w:val="00977977"/>
    <w:rsid w:val="009948BB"/>
    <w:rsid w:val="00995238"/>
    <w:rsid w:val="009A191F"/>
    <w:rsid w:val="009A73D1"/>
    <w:rsid w:val="009B3BBB"/>
    <w:rsid w:val="009C2DA3"/>
    <w:rsid w:val="009C5DF5"/>
    <w:rsid w:val="009F4AD0"/>
    <w:rsid w:val="00A13D8B"/>
    <w:rsid w:val="00A42DDB"/>
    <w:rsid w:val="00A43916"/>
    <w:rsid w:val="00A45E81"/>
    <w:rsid w:val="00A5480D"/>
    <w:rsid w:val="00A765BA"/>
    <w:rsid w:val="00A83399"/>
    <w:rsid w:val="00AA6913"/>
    <w:rsid w:val="00AA7BB2"/>
    <w:rsid w:val="00AC3C6C"/>
    <w:rsid w:val="00AC4261"/>
    <w:rsid w:val="00AD39D8"/>
    <w:rsid w:val="00AD48AF"/>
    <w:rsid w:val="00AE221D"/>
    <w:rsid w:val="00AE6D15"/>
    <w:rsid w:val="00AF1962"/>
    <w:rsid w:val="00AF5750"/>
    <w:rsid w:val="00B177C7"/>
    <w:rsid w:val="00B2320D"/>
    <w:rsid w:val="00B236BF"/>
    <w:rsid w:val="00B31CEF"/>
    <w:rsid w:val="00B55282"/>
    <w:rsid w:val="00B7393A"/>
    <w:rsid w:val="00BA26A4"/>
    <w:rsid w:val="00BA66CB"/>
    <w:rsid w:val="00BA6E88"/>
    <w:rsid w:val="00BC19D4"/>
    <w:rsid w:val="00BE4BBA"/>
    <w:rsid w:val="00BE68D4"/>
    <w:rsid w:val="00C000C1"/>
    <w:rsid w:val="00C04CCA"/>
    <w:rsid w:val="00C2611B"/>
    <w:rsid w:val="00C43899"/>
    <w:rsid w:val="00C62840"/>
    <w:rsid w:val="00C665AC"/>
    <w:rsid w:val="00CA76D3"/>
    <w:rsid w:val="00CB6DC4"/>
    <w:rsid w:val="00CD227F"/>
    <w:rsid w:val="00CD3846"/>
    <w:rsid w:val="00D0489C"/>
    <w:rsid w:val="00D04F98"/>
    <w:rsid w:val="00D06475"/>
    <w:rsid w:val="00D1798F"/>
    <w:rsid w:val="00D21003"/>
    <w:rsid w:val="00D24121"/>
    <w:rsid w:val="00D265A1"/>
    <w:rsid w:val="00D4636B"/>
    <w:rsid w:val="00D4697C"/>
    <w:rsid w:val="00D52FA4"/>
    <w:rsid w:val="00D54263"/>
    <w:rsid w:val="00D546F8"/>
    <w:rsid w:val="00D61585"/>
    <w:rsid w:val="00D85C9E"/>
    <w:rsid w:val="00D87505"/>
    <w:rsid w:val="00D9099D"/>
    <w:rsid w:val="00D91F63"/>
    <w:rsid w:val="00DB5292"/>
    <w:rsid w:val="00DB6637"/>
    <w:rsid w:val="00DC0697"/>
    <w:rsid w:val="00DC2101"/>
    <w:rsid w:val="00DC39AD"/>
    <w:rsid w:val="00DD0508"/>
    <w:rsid w:val="00DD1153"/>
    <w:rsid w:val="00DD7970"/>
    <w:rsid w:val="00E03E13"/>
    <w:rsid w:val="00E13658"/>
    <w:rsid w:val="00E15F72"/>
    <w:rsid w:val="00E25080"/>
    <w:rsid w:val="00E25299"/>
    <w:rsid w:val="00E340B0"/>
    <w:rsid w:val="00E34121"/>
    <w:rsid w:val="00E350A1"/>
    <w:rsid w:val="00E355FE"/>
    <w:rsid w:val="00E4063A"/>
    <w:rsid w:val="00E426A1"/>
    <w:rsid w:val="00E44141"/>
    <w:rsid w:val="00E47B5E"/>
    <w:rsid w:val="00E52056"/>
    <w:rsid w:val="00E626DE"/>
    <w:rsid w:val="00E711BE"/>
    <w:rsid w:val="00E73B1B"/>
    <w:rsid w:val="00E82437"/>
    <w:rsid w:val="00E92775"/>
    <w:rsid w:val="00EA45C6"/>
    <w:rsid w:val="00EB19B8"/>
    <w:rsid w:val="00EB4DEA"/>
    <w:rsid w:val="00ED0939"/>
    <w:rsid w:val="00EE3735"/>
    <w:rsid w:val="00EE4BF0"/>
    <w:rsid w:val="00F0096F"/>
    <w:rsid w:val="00F00BD7"/>
    <w:rsid w:val="00F20176"/>
    <w:rsid w:val="00F26637"/>
    <w:rsid w:val="00F34C69"/>
    <w:rsid w:val="00F42BF4"/>
    <w:rsid w:val="00F46C97"/>
    <w:rsid w:val="00F522F0"/>
    <w:rsid w:val="00F659C0"/>
    <w:rsid w:val="00F80FD1"/>
    <w:rsid w:val="00F91BCA"/>
    <w:rsid w:val="00F959FD"/>
    <w:rsid w:val="00FA203F"/>
    <w:rsid w:val="00FD163C"/>
    <w:rsid w:val="00FE4738"/>
    <w:rsid w:val="00FE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B1E"/>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713B1E"/>
    <w:pPr>
      <w:keepNext/>
      <w:spacing w:before="240" w:after="60"/>
      <w:outlineLvl w:val="1"/>
    </w:pPr>
    <w:rPr>
      <w:rFonts w:ascii="Cambria" w:hAnsi="Cambria"/>
      <w:b/>
      <w:bCs/>
      <w:i/>
      <w:iCs/>
    </w:rPr>
  </w:style>
  <w:style w:type="paragraph" w:styleId="Heading3">
    <w:name w:val="heading 3"/>
    <w:basedOn w:val="Normal"/>
    <w:next w:val="Normal"/>
    <w:link w:val="Heading3Char"/>
    <w:unhideWhenUsed/>
    <w:qFormat/>
    <w:rsid w:val="00713B1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B1E"/>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713B1E"/>
    <w:rPr>
      <w:rFonts w:ascii="Cambria" w:eastAsia="Times New Roman" w:hAnsi="Cambria" w:cs="Times New Roman"/>
      <w:b/>
      <w:bCs/>
      <w:sz w:val="26"/>
      <w:szCs w:val="26"/>
    </w:rPr>
  </w:style>
  <w:style w:type="character" w:styleId="Hyperlink">
    <w:name w:val="Hyperlink"/>
    <w:rsid w:val="00713B1E"/>
    <w:rPr>
      <w:color w:val="0000FF"/>
      <w:u w:val="single"/>
    </w:rPr>
  </w:style>
  <w:style w:type="paragraph" w:styleId="NormalWeb">
    <w:name w:val="Normal (Web)"/>
    <w:basedOn w:val="Normal"/>
    <w:uiPriority w:val="99"/>
    <w:unhideWhenUsed/>
    <w:rsid w:val="00713B1E"/>
    <w:pPr>
      <w:spacing w:before="100" w:beforeAutospacing="1" w:after="100" w:afterAutospacing="1"/>
    </w:pPr>
    <w:rPr>
      <w:sz w:val="24"/>
      <w:szCs w:val="24"/>
    </w:rPr>
  </w:style>
  <w:style w:type="character" w:styleId="Strong">
    <w:name w:val="Strong"/>
    <w:uiPriority w:val="22"/>
    <w:qFormat/>
    <w:rsid w:val="00713B1E"/>
    <w:rPr>
      <w:b/>
      <w:bCs/>
    </w:rPr>
  </w:style>
  <w:style w:type="character" w:styleId="Emphasis">
    <w:name w:val="Emphasis"/>
    <w:uiPriority w:val="20"/>
    <w:qFormat/>
    <w:rsid w:val="00713B1E"/>
    <w:rPr>
      <w:i/>
      <w:iCs/>
    </w:rPr>
  </w:style>
  <w:style w:type="character" w:customStyle="1" w:styleId="apple-converted-space">
    <w:name w:val="apple-converted-space"/>
    <w:rsid w:val="00713B1E"/>
  </w:style>
  <w:style w:type="paragraph" w:styleId="Header">
    <w:name w:val="header"/>
    <w:basedOn w:val="Normal"/>
    <w:link w:val="HeaderChar"/>
    <w:uiPriority w:val="99"/>
    <w:unhideWhenUsed/>
    <w:rsid w:val="000322ED"/>
    <w:pPr>
      <w:tabs>
        <w:tab w:val="center" w:pos="4680"/>
        <w:tab w:val="right" w:pos="9360"/>
      </w:tabs>
    </w:pPr>
  </w:style>
  <w:style w:type="character" w:customStyle="1" w:styleId="HeaderChar">
    <w:name w:val="Header Char"/>
    <w:basedOn w:val="DefaultParagraphFont"/>
    <w:link w:val="Header"/>
    <w:uiPriority w:val="99"/>
    <w:rsid w:val="000322ED"/>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322ED"/>
    <w:pPr>
      <w:tabs>
        <w:tab w:val="center" w:pos="4680"/>
        <w:tab w:val="right" w:pos="9360"/>
      </w:tabs>
    </w:pPr>
  </w:style>
  <w:style w:type="character" w:customStyle="1" w:styleId="FooterChar">
    <w:name w:val="Footer Char"/>
    <w:basedOn w:val="DefaultParagraphFont"/>
    <w:link w:val="Footer"/>
    <w:uiPriority w:val="99"/>
    <w:rsid w:val="000322ED"/>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B673D"/>
    <w:rPr>
      <w:rFonts w:ascii="Tahoma" w:hAnsi="Tahoma" w:cs="Tahoma"/>
      <w:sz w:val="16"/>
      <w:szCs w:val="16"/>
    </w:rPr>
  </w:style>
  <w:style w:type="character" w:customStyle="1" w:styleId="BalloonTextChar">
    <w:name w:val="Balloon Text Char"/>
    <w:basedOn w:val="DefaultParagraphFont"/>
    <w:link w:val="BalloonText"/>
    <w:uiPriority w:val="99"/>
    <w:semiHidden/>
    <w:rsid w:val="005B673D"/>
    <w:rPr>
      <w:rFonts w:ascii="Tahoma" w:eastAsia="Times New Roman" w:hAnsi="Tahoma" w:cs="Tahoma"/>
      <w:sz w:val="16"/>
      <w:szCs w:val="16"/>
    </w:rPr>
  </w:style>
  <w:style w:type="paragraph" w:styleId="ListParagraph">
    <w:name w:val="List Paragraph"/>
    <w:basedOn w:val="Normal"/>
    <w:uiPriority w:val="34"/>
    <w:qFormat/>
    <w:rsid w:val="006C3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0447">
      <w:bodyDiv w:val="1"/>
      <w:marLeft w:val="0"/>
      <w:marRight w:val="0"/>
      <w:marTop w:val="0"/>
      <w:marBottom w:val="0"/>
      <w:divBdr>
        <w:top w:val="none" w:sz="0" w:space="0" w:color="auto"/>
        <w:left w:val="none" w:sz="0" w:space="0" w:color="auto"/>
        <w:bottom w:val="none" w:sz="0" w:space="0" w:color="auto"/>
        <w:right w:val="none" w:sz="0" w:space="0" w:color="auto"/>
      </w:divBdr>
    </w:div>
    <w:div w:id="212893082">
      <w:bodyDiv w:val="1"/>
      <w:marLeft w:val="0"/>
      <w:marRight w:val="0"/>
      <w:marTop w:val="0"/>
      <w:marBottom w:val="0"/>
      <w:divBdr>
        <w:top w:val="none" w:sz="0" w:space="0" w:color="auto"/>
        <w:left w:val="none" w:sz="0" w:space="0" w:color="auto"/>
        <w:bottom w:val="none" w:sz="0" w:space="0" w:color="auto"/>
        <w:right w:val="none" w:sz="0" w:space="0" w:color="auto"/>
      </w:divBdr>
    </w:div>
    <w:div w:id="352194032">
      <w:bodyDiv w:val="1"/>
      <w:marLeft w:val="0"/>
      <w:marRight w:val="0"/>
      <w:marTop w:val="0"/>
      <w:marBottom w:val="0"/>
      <w:divBdr>
        <w:top w:val="none" w:sz="0" w:space="0" w:color="auto"/>
        <w:left w:val="none" w:sz="0" w:space="0" w:color="auto"/>
        <w:bottom w:val="none" w:sz="0" w:space="0" w:color="auto"/>
        <w:right w:val="none" w:sz="0" w:space="0" w:color="auto"/>
      </w:divBdr>
    </w:div>
    <w:div w:id="450785062">
      <w:bodyDiv w:val="1"/>
      <w:marLeft w:val="0"/>
      <w:marRight w:val="0"/>
      <w:marTop w:val="0"/>
      <w:marBottom w:val="0"/>
      <w:divBdr>
        <w:top w:val="none" w:sz="0" w:space="0" w:color="auto"/>
        <w:left w:val="none" w:sz="0" w:space="0" w:color="auto"/>
        <w:bottom w:val="none" w:sz="0" w:space="0" w:color="auto"/>
        <w:right w:val="none" w:sz="0" w:space="0" w:color="auto"/>
      </w:divBdr>
    </w:div>
    <w:div w:id="474177172">
      <w:bodyDiv w:val="1"/>
      <w:marLeft w:val="0"/>
      <w:marRight w:val="0"/>
      <w:marTop w:val="0"/>
      <w:marBottom w:val="0"/>
      <w:divBdr>
        <w:top w:val="none" w:sz="0" w:space="0" w:color="auto"/>
        <w:left w:val="none" w:sz="0" w:space="0" w:color="auto"/>
        <w:bottom w:val="none" w:sz="0" w:space="0" w:color="auto"/>
        <w:right w:val="none" w:sz="0" w:space="0" w:color="auto"/>
      </w:divBdr>
    </w:div>
    <w:div w:id="523783510">
      <w:bodyDiv w:val="1"/>
      <w:marLeft w:val="0"/>
      <w:marRight w:val="0"/>
      <w:marTop w:val="0"/>
      <w:marBottom w:val="0"/>
      <w:divBdr>
        <w:top w:val="none" w:sz="0" w:space="0" w:color="auto"/>
        <w:left w:val="none" w:sz="0" w:space="0" w:color="auto"/>
        <w:bottom w:val="none" w:sz="0" w:space="0" w:color="auto"/>
        <w:right w:val="none" w:sz="0" w:space="0" w:color="auto"/>
      </w:divBdr>
    </w:div>
    <w:div w:id="579872280">
      <w:bodyDiv w:val="1"/>
      <w:marLeft w:val="0"/>
      <w:marRight w:val="0"/>
      <w:marTop w:val="0"/>
      <w:marBottom w:val="0"/>
      <w:divBdr>
        <w:top w:val="none" w:sz="0" w:space="0" w:color="auto"/>
        <w:left w:val="none" w:sz="0" w:space="0" w:color="auto"/>
        <w:bottom w:val="none" w:sz="0" w:space="0" w:color="auto"/>
        <w:right w:val="none" w:sz="0" w:space="0" w:color="auto"/>
      </w:divBdr>
    </w:div>
    <w:div w:id="740907961">
      <w:bodyDiv w:val="1"/>
      <w:marLeft w:val="0"/>
      <w:marRight w:val="0"/>
      <w:marTop w:val="0"/>
      <w:marBottom w:val="0"/>
      <w:divBdr>
        <w:top w:val="none" w:sz="0" w:space="0" w:color="auto"/>
        <w:left w:val="none" w:sz="0" w:space="0" w:color="auto"/>
        <w:bottom w:val="none" w:sz="0" w:space="0" w:color="auto"/>
        <w:right w:val="none" w:sz="0" w:space="0" w:color="auto"/>
      </w:divBdr>
    </w:div>
    <w:div w:id="841505864">
      <w:bodyDiv w:val="1"/>
      <w:marLeft w:val="0"/>
      <w:marRight w:val="0"/>
      <w:marTop w:val="0"/>
      <w:marBottom w:val="0"/>
      <w:divBdr>
        <w:top w:val="none" w:sz="0" w:space="0" w:color="auto"/>
        <w:left w:val="none" w:sz="0" w:space="0" w:color="auto"/>
        <w:bottom w:val="none" w:sz="0" w:space="0" w:color="auto"/>
        <w:right w:val="none" w:sz="0" w:space="0" w:color="auto"/>
      </w:divBdr>
    </w:div>
    <w:div w:id="848327017">
      <w:bodyDiv w:val="1"/>
      <w:marLeft w:val="0"/>
      <w:marRight w:val="0"/>
      <w:marTop w:val="0"/>
      <w:marBottom w:val="0"/>
      <w:divBdr>
        <w:top w:val="none" w:sz="0" w:space="0" w:color="auto"/>
        <w:left w:val="none" w:sz="0" w:space="0" w:color="auto"/>
        <w:bottom w:val="none" w:sz="0" w:space="0" w:color="auto"/>
        <w:right w:val="none" w:sz="0" w:space="0" w:color="auto"/>
      </w:divBdr>
    </w:div>
    <w:div w:id="1001544832">
      <w:bodyDiv w:val="1"/>
      <w:marLeft w:val="0"/>
      <w:marRight w:val="0"/>
      <w:marTop w:val="0"/>
      <w:marBottom w:val="0"/>
      <w:divBdr>
        <w:top w:val="none" w:sz="0" w:space="0" w:color="auto"/>
        <w:left w:val="none" w:sz="0" w:space="0" w:color="auto"/>
        <w:bottom w:val="none" w:sz="0" w:space="0" w:color="auto"/>
        <w:right w:val="none" w:sz="0" w:space="0" w:color="auto"/>
      </w:divBdr>
    </w:div>
    <w:div w:id="1019163229">
      <w:bodyDiv w:val="1"/>
      <w:marLeft w:val="0"/>
      <w:marRight w:val="0"/>
      <w:marTop w:val="0"/>
      <w:marBottom w:val="0"/>
      <w:divBdr>
        <w:top w:val="none" w:sz="0" w:space="0" w:color="auto"/>
        <w:left w:val="none" w:sz="0" w:space="0" w:color="auto"/>
        <w:bottom w:val="none" w:sz="0" w:space="0" w:color="auto"/>
        <w:right w:val="none" w:sz="0" w:space="0" w:color="auto"/>
      </w:divBdr>
    </w:div>
    <w:div w:id="1174757547">
      <w:bodyDiv w:val="1"/>
      <w:marLeft w:val="0"/>
      <w:marRight w:val="0"/>
      <w:marTop w:val="0"/>
      <w:marBottom w:val="0"/>
      <w:divBdr>
        <w:top w:val="none" w:sz="0" w:space="0" w:color="auto"/>
        <w:left w:val="none" w:sz="0" w:space="0" w:color="auto"/>
        <w:bottom w:val="none" w:sz="0" w:space="0" w:color="auto"/>
        <w:right w:val="none" w:sz="0" w:space="0" w:color="auto"/>
      </w:divBdr>
    </w:div>
    <w:div w:id="1210066814">
      <w:bodyDiv w:val="1"/>
      <w:marLeft w:val="0"/>
      <w:marRight w:val="0"/>
      <w:marTop w:val="0"/>
      <w:marBottom w:val="0"/>
      <w:divBdr>
        <w:top w:val="none" w:sz="0" w:space="0" w:color="auto"/>
        <w:left w:val="none" w:sz="0" w:space="0" w:color="auto"/>
        <w:bottom w:val="none" w:sz="0" w:space="0" w:color="auto"/>
        <w:right w:val="none" w:sz="0" w:space="0" w:color="auto"/>
      </w:divBdr>
    </w:div>
    <w:div w:id="1256479338">
      <w:bodyDiv w:val="1"/>
      <w:marLeft w:val="0"/>
      <w:marRight w:val="0"/>
      <w:marTop w:val="0"/>
      <w:marBottom w:val="0"/>
      <w:divBdr>
        <w:top w:val="none" w:sz="0" w:space="0" w:color="auto"/>
        <w:left w:val="none" w:sz="0" w:space="0" w:color="auto"/>
        <w:bottom w:val="none" w:sz="0" w:space="0" w:color="auto"/>
        <w:right w:val="none" w:sz="0" w:space="0" w:color="auto"/>
      </w:divBdr>
    </w:div>
    <w:div w:id="1346128779">
      <w:bodyDiv w:val="1"/>
      <w:marLeft w:val="0"/>
      <w:marRight w:val="0"/>
      <w:marTop w:val="0"/>
      <w:marBottom w:val="0"/>
      <w:divBdr>
        <w:top w:val="none" w:sz="0" w:space="0" w:color="auto"/>
        <w:left w:val="none" w:sz="0" w:space="0" w:color="auto"/>
        <w:bottom w:val="none" w:sz="0" w:space="0" w:color="auto"/>
        <w:right w:val="none" w:sz="0" w:space="0" w:color="auto"/>
      </w:divBdr>
    </w:div>
    <w:div w:id="1630940129">
      <w:bodyDiv w:val="1"/>
      <w:marLeft w:val="0"/>
      <w:marRight w:val="0"/>
      <w:marTop w:val="0"/>
      <w:marBottom w:val="0"/>
      <w:divBdr>
        <w:top w:val="none" w:sz="0" w:space="0" w:color="auto"/>
        <w:left w:val="none" w:sz="0" w:space="0" w:color="auto"/>
        <w:bottom w:val="none" w:sz="0" w:space="0" w:color="auto"/>
        <w:right w:val="none" w:sz="0" w:space="0" w:color="auto"/>
      </w:divBdr>
    </w:div>
    <w:div w:id="1640308921">
      <w:bodyDiv w:val="1"/>
      <w:marLeft w:val="0"/>
      <w:marRight w:val="0"/>
      <w:marTop w:val="0"/>
      <w:marBottom w:val="0"/>
      <w:divBdr>
        <w:top w:val="none" w:sz="0" w:space="0" w:color="auto"/>
        <w:left w:val="none" w:sz="0" w:space="0" w:color="auto"/>
        <w:bottom w:val="none" w:sz="0" w:space="0" w:color="auto"/>
        <w:right w:val="none" w:sz="0" w:space="0" w:color="auto"/>
      </w:divBdr>
    </w:div>
    <w:div w:id="1642736241">
      <w:bodyDiv w:val="1"/>
      <w:marLeft w:val="0"/>
      <w:marRight w:val="0"/>
      <w:marTop w:val="0"/>
      <w:marBottom w:val="0"/>
      <w:divBdr>
        <w:top w:val="none" w:sz="0" w:space="0" w:color="auto"/>
        <w:left w:val="none" w:sz="0" w:space="0" w:color="auto"/>
        <w:bottom w:val="none" w:sz="0" w:space="0" w:color="auto"/>
        <w:right w:val="none" w:sz="0" w:space="0" w:color="auto"/>
      </w:divBdr>
    </w:div>
    <w:div w:id="1651789260">
      <w:bodyDiv w:val="1"/>
      <w:marLeft w:val="0"/>
      <w:marRight w:val="0"/>
      <w:marTop w:val="0"/>
      <w:marBottom w:val="0"/>
      <w:divBdr>
        <w:top w:val="none" w:sz="0" w:space="0" w:color="auto"/>
        <w:left w:val="none" w:sz="0" w:space="0" w:color="auto"/>
        <w:bottom w:val="none" w:sz="0" w:space="0" w:color="auto"/>
        <w:right w:val="none" w:sz="0" w:space="0" w:color="auto"/>
      </w:divBdr>
    </w:div>
    <w:div w:id="1712028674">
      <w:bodyDiv w:val="1"/>
      <w:marLeft w:val="0"/>
      <w:marRight w:val="0"/>
      <w:marTop w:val="0"/>
      <w:marBottom w:val="0"/>
      <w:divBdr>
        <w:top w:val="none" w:sz="0" w:space="0" w:color="auto"/>
        <w:left w:val="none" w:sz="0" w:space="0" w:color="auto"/>
        <w:bottom w:val="none" w:sz="0" w:space="0" w:color="auto"/>
        <w:right w:val="none" w:sz="0" w:space="0" w:color="auto"/>
      </w:divBdr>
      <w:divsChild>
        <w:div w:id="1741171192">
          <w:marLeft w:val="547"/>
          <w:marRight w:val="0"/>
          <w:marTop w:val="115"/>
          <w:marBottom w:val="0"/>
          <w:divBdr>
            <w:top w:val="none" w:sz="0" w:space="0" w:color="auto"/>
            <w:left w:val="none" w:sz="0" w:space="0" w:color="auto"/>
            <w:bottom w:val="none" w:sz="0" w:space="0" w:color="auto"/>
            <w:right w:val="none" w:sz="0" w:space="0" w:color="auto"/>
          </w:divBdr>
        </w:div>
        <w:div w:id="1555310460">
          <w:marLeft w:val="547"/>
          <w:marRight w:val="0"/>
          <w:marTop w:val="115"/>
          <w:marBottom w:val="0"/>
          <w:divBdr>
            <w:top w:val="none" w:sz="0" w:space="0" w:color="auto"/>
            <w:left w:val="none" w:sz="0" w:space="0" w:color="auto"/>
            <w:bottom w:val="none" w:sz="0" w:space="0" w:color="auto"/>
            <w:right w:val="none" w:sz="0" w:space="0" w:color="auto"/>
          </w:divBdr>
        </w:div>
      </w:divsChild>
    </w:div>
    <w:div w:id="1847404167">
      <w:bodyDiv w:val="1"/>
      <w:marLeft w:val="0"/>
      <w:marRight w:val="0"/>
      <w:marTop w:val="0"/>
      <w:marBottom w:val="0"/>
      <w:divBdr>
        <w:top w:val="none" w:sz="0" w:space="0" w:color="auto"/>
        <w:left w:val="none" w:sz="0" w:space="0" w:color="auto"/>
        <w:bottom w:val="none" w:sz="0" w:space="0" w:color="auto"/>
        <w:right w:val="none" w:sz="0" w:space="0" w:color="auto"/>
      </w:divBdr>
    </w:div>
    <w:div w:id="1935701464">
      <w:bodyDiv w:val="1"/>
      <w:marLeft w:val="0"/>
      <w:marRight w:val="0"/>
      <w:marTop w:val="0"/>
      <w:marBottom w:val="0"/>
      <w:divBdr>
        <w:top w:val="none" w:sz="0" w:space="0" w:color="auto"/>
        <w:left w:val="none" w:sz="0" w:space="0" w:color="auto"/>
        <w:bottom w:val="none" w:sz="0" w:space="0" w:color="auto"/>
        <w:right w:val="none" w:sz="0" w:space="0" w:color="auto"/>
      </w:divBdr>
    </w:div>
    <w:div w:id="1959027254">
      <w:bodyDiv w:val="1"/>
      <w:marLeft w:val="0"/>
      <w:marRight w:val="0"/>
      <w:marTop w:val="0"/>
      <w:marBottom w:val="0"/>
      <w:divBdr>
        <w:top w:val="none" w:sz="0" w:space="0" w:color="auto"/>
        <w:left w:val="none" w:sz="0" w:space="0" w:color="auto"/>
        <w:bottom w:val="none" w:sz="0" w:space="0" w:color="auto"/>
        <w:right w:val="none" w:sz="0" w:space="0" w:color="auto"/>
      </w:divBdr>
    </w:div>
    <w:div w:id="20474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6</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92</cp:revision>
  <cp:lastPrinted>2025-07-28T01:39:00Z</cp:lastPrinted>
  <dcterms:created xsi:type="dcterms:W3CDTF">2021-05-05T00:24:00Z</dcterms:created>
  <dcterms:modified xsi:type="dcterms:W3CDTF">2025-07-28T01:40:00Z</dcterms:modified>
</cp:coreProperties>
</file>