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46" w:rsidRPr="00A17F06" w:rsidRDefault="00CD3846" w:rsidP="00731953">
      <w:pPr>
        <w:tabs>
          <w:tab w:val="left" w:pos="1528"/>
        </w:tabs>
        <w:jc w:val="center"/>
        <w:rPr>
          <w:b/>
          <w:i/>
        </w:rPr>
      </w:pPr>
      <w:bookmarkStart w:id="0" w:name="_GoBack"/>
      <w:r w:rsidRPr="00A17F06">
        <w:rPr>
          <w:b/>
          <w:i/>
          <w:lang w:val="vi-VN"/>
        </w:rPr>
        <w:t xml:space="preserve">Phụ lục </w:t>
      </w:r>
      <w:r w:rsidR="00597218" w:rsidRPr="00A17F06">
        <w:rPr>
          <w:b/>
          <w:i/>
        </w:rPr>
        <w:t>1</w:t>
      </w:r>
      <w:r w:rsidR="00334D13" w:rsidRPr="00A17F06">
        <w:rPr>
          <w:b/>
          <w:i/>
        </w:rPr>
        <w:t>7</w:t>
      </w:r>
    </w:p>
    <w:p w:rsidR="00CD3846" w:rsidRPr="00A17F06" w:rsidRDefault="008A1E62" w:rsidP="00731953">
      <w:pPr>
        <w:spacing w:before="120"/>
        <w:jc w:val="center"/>
        <w:rPr>
          <w:b/>
          <w:bCs/>
        </w:rPr>
      </w:pPr>
      <w:r w:rsidRPr="00A17F06">
        <w:rPr>
          <w:b/>
          <w:bCs/>
        </w:rPr>
        <w:t xml:space="preserve">CHẾ ĐỘ </w:t>
      </w:r>
      <w:r w:rsidR="000652A0" w:rsidRPr="00A17F06">
        <w:rPr>
          <w:b/>
          <w:bCs/>
        </w:rPr>
        <w:t>TRANG CẤP PHƯƠNG TIỆN BẢO VỆ CÁ NHÂN</w:t>
      </w:r>
    </w:p>
    <w:p w:rsidR="00597218" w:rsidRPr="00A17F06" w:rsidRDefault="00597218" w:rsidP="00731953">
      <w:pPr>
        <w:jc w:val="center"/>
        <w:rPr>
          <w:b/>
          <w:bCs/>
        </w:rPr>
      </w:pPr>
      <w:r w:rsidRPr="00A17F06">
        <w:rPr>
          <w:i/>
        </w:rPr>
        <w:t>(Kèm theo Công văn số       /SNV-LĐVL&amp;CS ngày       /</w:t>
      </w:r>
      <w:r w:rsidR="00334D13" w:rsidRPr="00A17F06">
        <w:rPr>
          <w:i/>
        </w:rPr>
        <w:t>7</w:t>
      </w:r>
      <w:r w:rsidRPr="00A17F06">
        <w:rPr>
          <w:i/>
        </w:rPr>
        <w:t>/2025 của Sở Nội vụ)</w:t>
      </w:r>
    </w:p>
    <w:p w:rsidR="00BC19D4" w:rsidRPr="00A17F06" w:rsidRDefault="00BC19D4" w:rsidP="00CD3846">
      <w:pPr>
        <w:jc w:val="center"/>
        <w:rPr>
          <w:b/>
          <w:bCs/>
        </w:rPr>
      </w:pPr>
    </w:p>
    <w:p w:rsidR="00DF2CC1" w:rsidRPr="00A17F06" w:rsidRDefault="00DF2CC1" w:rsidP="00C16BF6">
      <w:pPr>
        <w:shd w:val="clear" w:color="auto" w:fill="FFFFFF"/>
        <w:spacing w:before="120" w:after="120" w:line="340" w:lineRule="exact"/>
        <w:ind w:firstLine="709"/>
        <w:jc w:val="both"/>
        <w:rPr>
          <w:b/>
          <w:spacing w:val="-4"/>
        </w:rPr>
      </w:pPr>
      <w:bookmarkStart w:id="1" w:name="dieu_3"/>
      <w:r w:rsidRPr="00A17F06">
        <w:rPr>
          <w:bCs/>
          <w:spacing w:val="-4"/>
        </w:rPr>
        <w:t xml:space="preserve">Theo </w:t>
      </w:r>
      <w:r w:rsidRPr="00A17F06">
        <w:rPr>
          <w:spacing w:val="-4"/>
        </w:rPr>
        <w:t>Khoản 3 Điều 16 Luật ATVSLĐ năm 2015, Thông tư số 25/2022/TT-BLĐTBXH quy định về</w:t>
      </w:r>
      <w:r w:rsidRPr="00A17F06">
        <w:rPr>
          <w:i/>
          <w:spacing w:val="-4"/>
        </w:rPr>
        <w:t xml:space="preserve"> </w:t>
      </w:r>
      <w:r w:rsidR="000354CE" w:rsidRPr="00A17F06">
        <w:rPr>
          <w:bCs/>
          <w:spacing w:val="-4"/>
        </w:rPr>
        <w:t>t</w:t>
      </w:r>
      <w:r w:rsidRPr="00A17F06">
        <w:rPr>
          <w:bCs/>
          <w:spacing w:val="-4"/>
        </w:rPr>
        <w:t>rang cấp phương tiện bảo vệ cá nhân như sau:</w:t>
      </w:r>
    </w:p>
    <w:p w:rsidR="009510BE" w:rsidRPr="00A17F06" w:rsidRDefault="00FD4449" w:rsidP="00C16BF6">
      <w:pPr>
        <w:shd w:val="clear" w:color="auto" w:fill="FFFFFF"/>
        <w:spacing w:before="120" w:after="120" w:line="340" w:lineRule="exact"/>
        <w:ind w:firstLine="709"/>
        <w:jc w:val="both"/>
        <w:rPr>
          <w:b/>
        </w:rPr>
      </w:pPr>
      <w:r w:rsidRPr="00A17F06">
        <w:rPr>
          <w:b/>
        </w:rPr>
        <w:t>1. Đối tượng</w:t>
      </w:r>
      <w:r w:rsidR="00DB4E34" w:rsidRPr="00A17F06">
        <w:rPr>
          <w:spacing w:val="-4"/>
        </w:rPr>
        <w:t xml:space="preserve"> </w:t>
      </w:r>
      <w:r w:rsidR="00DB4E34" w:rsidRPr="00A17F06">
        <w:rPr>
          <w:i/>
          <w:spacing w:val="-4"/>
        </w:rPr>
        <w:t>(Điều 2 Thông tư số 25/2022/TT-BLĐTBXH)</w:t>
      </w:r>
    </w:p>
    <w:p w:rsidR="00BE7624" w:rsidRPr="00A17F06" w:rsidRDefault="00BE7624" w:rsidP="00C16BF6">
      <w:pPr>
        <w:spacing w:before="120" w:after="120" w:line="340" w:lineRule="exact"/>
        <w:ind w:firstLine="709"/>
        <w:jc w:val="both"/>
      </w:pPr>
      <w:r w:rsidRPr="00A17F06">
        <w:t xml:space="preserve">1.1. Người lao động được quy định tại khoản 1, 2 và 4 Điều 2 Luật </w:t>
      </w:r>
      <w:r w:rsidR="00731953" w:rsidRPr="00A17F06">
        <w:t>ATVSLĐ năm 2015</w:t>
      </w:r>
      <w:r w:rsidR="00731953" w:rsidRPr="00A17F06">
        <w:rPr>
          <w:rStyle w:val="FootnoteReference"/>
        </w:rPr>
        <w:footnoteReference w:id="1"/>
      </w:r>
      <w:r w:rsidRPr="00A17F06">
        <w:t>.</w:t>
      </w:r>
    </w:p>
    <w:p w:rsidR="00BE7624" w:rsidRPr="00A17F06" w:rsidRDefault="00BE7624" w:rsidP="00C16BF6">
      <w:pPr>
        <w:spacing w:before="120" w:after="120" w:line="340" w:lineRule="exact"/>
        <w:ind w:firstLine="709"/>
        <w:jc w:val="both"/>
      </w:pPr>
      <w:r w:rsidRPr="00A17F06">
        <w:t>1.2. Người sử dụng lao động theo quy định tại khoản 2 Điều 3 Bộ luật Lao động</w:t>
      </w:r>
      <w:r w:rsidR="00731953" w:rsidRPr="00A17F06">
        <w:t xml:space="preserve"> năm 2019</w:t>
      </w:r>
      <w:r w:rsidRPr="00A17F06">
        <w:t>.</w:t>
      </w:r>
    </w:p>
    <w:p w:rsidR="00BE7624" w:rsidRPr="00A17F06" w:rsidRDefault="00BE7624" w:rsidP="00C16BF6">
      <w:pPr>
        <w:spacing w:before="120" w:after="120" w:line="340" w:lineRule="exact"/>
        <w:ind w:firstLine="709"/>
        <w:jc w:val="both"/>
      </w:pPr>
      <w:r w:rsidRPr="00A17F06">
        <w:t>1.3. Cơ quan, tổ chức và cá nhân khác có liên quan đến chế độ trang cấp phương tiện bảo vệ cá nhân trong lao động.</w:t>
      </w:r>
    </w:p>
    <w:p w:rsidR="000652A0" w:rsidRPr="00A17F06" w:rsidRDefault="00BE7624" w:rsidP="00C16BF6">
      <w:pPr>
        <w:shd w:val="clear" w:color="auto" w:fill="FFFFFF"/>
        <w:spacing w:before="120" w:after="120" w:line="340" w:lineRule="exact"/>
        <w:ind w:firstLine="709"/>
        <w:jc w:val="both"/>
        <w:rPr>
          <w:b/>
          <w:lang w:val="vi-VN"/>
        </w:rPr>
      </w:pPr>
      <w:r w:rsidRPr="00A17F06">
        <w:rPr>
          <w:b/>
        </w:rPr>
        <w:t xml:space="preserve"> </w:t>
      </w:r>
      <w:r w:rsidR="004458CB" w:rsidRPr="00A17F06">
        <w:rPr>
          <w:b/>
        </w:rPr>
        <w:t>2</w:t>
      </w:r>
      <w:r w:rsidR="000652A0" w:rsidRPr="00A17F06">
        <w:rPr>
          <w:b/>
          <w:lang w:val="vi-VN"/>
        </w:rPr>
        <w:t>. Phương tiện bảo vệ cá nhân</w:t>
      </w:r>
      <w:bookmarkEnd w:id="1"/>
      <w:r w:rsidR="00DB4E34" w:rsidRPr="00A17F06">
        <w:rPr>
          <w:b/>
        </w:rPr>
        <w:t xml:space="preserve"> </w:t>
      </w:r>
      <w:r w:rsidR="00DB4E34" w:rsidRPr="00A17F06">
        <w:rPr>
          <w:i/>
          <w:spacing w:val="-4"/>
        </w:rPr>
        <w:t>(Điều 3 Thông tư số 25/2022/TT-BLĐTBXH)</w:t>
      </w:r>
    </w:p>
    <w:p w:rsidR="000652A0" w:rsidRPr="00A17F06" w:rsidRDefault="004458CB" w:rsidP="00C16BF6">
      <w:pPr>
        <w:shd w:val="clear" w:color="auto" w:fill="FFFFFF"/>
        <w:spacing w:before="120" w:after="120" w:line="340" w:lineRule="exact"/>
        <w:ind w:firstLine="709"/>
        <w:jc w:val="both"/>
        <w:rPr>
          <w:lang w:val="vi-VN"/>
        </w:rPr>
      </w:pPr>
      <w:r w:rsidRPr="00A17F06">
        <w:t>2</w:t>
      </w:r>
      <w:r w:rsidR="00F542B2" w:rsidRPr="00A17F06">
        <w:t>.</w:t>
      </w:r>
      <w:r w:rsidR="000652A0" w:rsidRPr="00A17F06">
        <w:rPr>
          <w:lang w:val="vi-VN"/>
        </w:rPr>
        <w:t xml:space="preserve">1. Phương tiện bảo vệ cá nhân là những dụng cụ, phương tiện cần thiết mà người lao động phải được trang cấp để sử dụng trong khi làm việc hoặc thực hiện nhiệm vụ để bảo vệ cơ thể khỏi tác động của các yếu tố nguy hiểm, yếu tố có hại phát sinh trong quá trình lao động, khi các giải pháp công nghệ, thiết bị, kỹ thuật </w:t>
      </w:r>
      <w:r w:rsidR="00731953" w:rsidRPr="00A17F06">
        <w:rPr>
          <w:lang w:val="vi-VN"/>
        </w:rPr>
        <w:t>ATVSLĐ</w:t>
      </w:r>
      <w:r w:rsidR="000652A0" w:rsidRPr="00A17F06">
        <w:rPr>
          <w:lang w:val="vi-VN"/>
        </w:rPr>
        <w:t xml:space="preserve"> tại nơi làm việc chưa thể loại trừ hết.</w:t>
      </w:r>
    </w:p>
    <w:p w:rsidR="000652A0" w:rsidRPr="00A17F06" w:rsidRDefault="004458CB" w:rsidP="00C16BF6">
      <w:pPr>
        <w:shd w:val="clear" w:color="auto" w:fill="FFFFFF"/>
        <w:spacing w:before="120" w:after="120" w:line="340" w:lineRule="exact"/>
        <w:ind w:firstLine="709"/>
        <w:jc w:val="both"/>
        <w:rPr>
          <w:lang w:val="vi-VN"/>
        </w:rPr>
      </w:pPr>
      <w:r w:rsidRPr="00A17F06">
        <w:t>2</w:t>
      </w:r>
      <w:r w:rsidR="00F542B2" w:rsidRPr="00A17F06">
        <w:t>.</w:t>
      </w:r>
      <w:r w:rsidR="000652A0" w:rsidRPr="00A17F06">
        <w:rPr>
          <w:lang w:val="vi-VN"/>
        </w:rPr>
        <w:t>2. Phương tiện bảo vệ cá nhân bao gồm:</w:t>
      </w:r>
    </w:p>
    <w:p w:rsidR="000652A0" w:rsidRPr="00A17F06" w:rsidRDefault="009D1FDA" w:rsidP="00C16BF6">
      <w:pPr>
        <w:shd w:val="clear" w:color="auto" w:fill="FFFFFF"/>
        <w:spacing w:before="120" w:after="120" w:line="340" w:lineRule="exact"/>
        <w:ind w:firstLine="709"/>
        <w:jc w:val="both"/>
        <w:rPr>
          <w:lang w:val="vi-VN"/>
        </w:rPr>
      </w:pPr>
      <w:r w:rsidRPr="00A17F06">
        <w:t>-</w:t>
      </w:r>
      <w:r w:rsidR="000652A0" w:rsidRPr="00A17F06">
        <w:rPr>
          <w:lang w:val="vi-VN"/>
        </w:rPr>
        <w:t xml:space="preserve"> Phương tiện bảo vệ đầu.</w:t>
      </w:r>
    </w:p>
    <w:p w:rsidR="000652A0" w:rsidRPr="00A17F06" w:rsidRDefault="009D1FDA" w:rsidP="00C16BF6">
      <w:pPr>
        <w:shd w:val="clear" w:color="auto" w:fill="FFFFFF"/>
        <w:spacing w:before="120" w:after="120" w:line="340" w:lineRule="exact"/>
        <w:ind w:firstLine="709"/>
        <w:jc w:val="both"/>
        <w:rPr>
          <w:lang w:val="vi-VN"/>
        </w:rPr>
      </w:pPr>
      <w:r w:rsidRPr="00A17F06">
        <w:t>-</w:t>
      </w:r>
      <w:r w:rsidR="000652A0" w:rsidRPr="00A17F06">
        <w:rPr>
          <w:lang w:val="vi-VN"/>
        </w:rPr>
        <w:t xml:space="preserve"> Phương tiện bảo vệ mắt, mặt.</w:t>
      </w:r>
    </w:p>
    <w:p w:rsidR="000652A0" w:rsidRPr="00A17F06" w:rsidRDefault="009D1FDA" w:rsidP="00C16BF6">
      <w:pPr>
        <w:shd w:val="clear" w:color="auto" w:fill="FFFFFF"/>
        <w:spacing w:before="120" w:after="120" w:line="340" w:lineRule="exact"/>
        <w:ind w:firstLine="709"/>
        <w:jc w:val="both"/>
        <w:rPr>
          <w:lang w:val="vi-VN"/>
        </w:rPr>
      </w:pPr>
      <w:r w:rsidRPr="00A17F06">
        <w:t>-</w:t>
      </w:r>
      <w:r w:rsidR="000652A0" w:rsidRPr="00A17F06">
        <w:rPr>
          <w:lang w:val="vi-VN"/>
        </w:rPr>
        <w:t xml:space="preserve"> Phương tiện bảo vệ thính giác.</w:t>
      </w:r>
    </w:p>
    <w:p w:rsidR="000652A0" w:rsidRPr="00A17F06" w:rsidRDefault="009D1FDA" w:rsidP="00C16BF6">
      <w:pPr>
        <w:shd w:val="clear" w:color="auto" w:fill="FFFFFF"/>
        <w:spacing w:before="120" w:after="120" w:line="340" w:lineRule="exact"/>
        <w:ind w:firstLine="709"/>
        <w:jc w:val="both"/>
        <w:rPr>
          <w:lang w:val="vi-VN"/>
        </w:rPr>
      </w:pPr>
      <w:r w:rsidRPr="00A17F06">
        <w:t>-</w:t>
      </w:r>
      <w:r w:rsidR="000652A0" w:rsidRPr="00A17F06">
        <w:rPr>
          <w:lang w:val="vi-VN"/>
        </w:rPr>
        <w:t xml:space="preserve"> Phương tiện bảo vệ cơ quan hô hấp.</w:t>
      </w:r>
    </w:p>
    <w:p w:rsidR="000652A0" w:rsidRPr="00A17F06" w:rsidRDefault="009D1FDA" w:rsidP="00C16BF6">
      <w:pPr>
        <w:shd w:val="clear" w:color="auto" w:fill="FFFFFF"/>
        <w:spacing w:before="120" w:after="120" w:line="340" w:lineRule="exact"/>
        <w:ind w:firstLine="709"/>
        <w:jc w:val="both"/>
        <w:rPr>
          <w:lang w:val="vi-VN"/>
        </w:rPr>
      </w:pPr>
      <w:r w:rsidRPr="00A17F06">
        <w:t>-</w:t>
      </w:r>
      <w:r w:rsidR="000652A0" w:rsidRPr="00A17F06">
        <w:rPr>
          <w:lang w:val="vi-VN"/>
        </w:rPr>
        <w:t xml:space="preserve"> Phương tiện bảo vệ tay.</w:t>
      </w:r>
    </w:p>
    <w:p w:rsidR="000652A0" w:rsidRPr="00A17F06" w:rsidRDefault="009D1FDA" w:rsidP="00C16BF6">
      <w:pPr>
        <w:shd w:val="clear" w:color="auto" w:fill="FFFFFF"/>
        <w:spacing w:before="120" w:after="120" w:line="340" w:lineRule="exact"/>
        <w:ind w:firstLine="709"/>
        <w:jc w:val="both"/>
        <w:rPr>
          <w:lang w:val="vi-VN"/>
        </w:rPr>
      </w:pPr>
      <w:r w:rsidRPr="00A17F06">
        <w:t>-</w:t>
      </w:r>
      <w:r w:rsidR="000652A0" w:rsidRPr="00A17F06">
        <w:rPr>
          <w:lang w:val="vi-VN"/>
        </w:rPr>
        <w:t xml:space="preserve"> Phương tiện bảo vệ chân.</w:t>
      </w:r>
    </w:p>
    <w:p w:rsidR="000652A0" w:rsidRPr="00A17F06" w:rsidRDefault="009D1FDA" w:rsidP="00C16BF6">
      <w:pPr>
        <w:shd w:val="clear" w:color="auto" w:fill="FFFFFF"/>
        <w:spacing w:before="120" w:after="120" w:line="340" w:lineRule="exact"/>
        <w:ind w:firstLine="709"/>
        <w:jc w:val="both"/>
        <w:rPr>
          <w:lang w:val="vi-VN"/>
        </w:rPr>
      </w:pPr>
      <w:r w:rsidRPr="00A17F06">
        <w:t>-</w:t>
      </w:r>
      <w:r w:rsidR="000652A0" w:rsidRPr="00A17F06">
        <w:rPr>
          <w:lang w:val="vi-VN"/>
        </w:rPr>
        <w:t xml:space="preserve"> Phương tiện bảo vệ thân thể.</w:t>
      </w:r>
    </w:p>
    <w:p w:rsidR="000652A0" w:rsidRPr="00A17F06" w:rsidRDefault="009D1FDA" w:rsidP="00C16BF6">
      <w:pPr>
        <w:shd w:val="clear" w:color="auto" w:fill="FFFFFF"/>
        <w:spacing w:before="120" w:after="120" w:line="340" w:lineRule="exact"/>
        <w:ind w:firstLine="709"/>
        <w:jc w:val="both"/>
        <w:rPr>
          <w:lang w:val="vi-VN"/>
        </w:rPr>
      </w:pPr>
      <w:r w:rsidRPr="00A17F06">
        <w:t>-</w:t>
      </w:r>
      <w:r w:rsidR="000652A0" w:rsidRPr="00A17F06">
        <w:rPr>
          <w:lang w:val="vi-VN"/>
        </w:rPr>
        <w:t xml:space="preserve"> Phương tiện chống ngã cao.</w:t>
      </w:r>
    </w:p>
    <w:p w:rsidR="000652A0" w:rsidRPr="00A17F06" w:rsidRDefault="009D1FDA" w:rsidP="00C16BF6">
      <w:pPr>
        <w:shd w:val="clear" w:color="auto" w:fill="FFFFFF"/>
        <w:spacing w:before="120" w:after="120" w:line="340" w:lineRule="exact"/>
        <w:ind w:firstLine="709"/>
        <w:jc w:val="both"/>
        <w:rPr>
          <w:lang w:val="vi-VN"/>
        </w:rPr>
      </w:pPr>
      <w:r w:rsidRPr="00A17F06">
        <w:t>-</w:t>
      </w:r>
      <w:r w:rsidR="000652A0" w:rsidRPr="00A17F06">
        <w:rPr>
          <w:lang w:val="vi-VN"/>
        </w:rPr>
        <w:t xml:space="preserve"> Phương tiện chống điện giật, điện từ trường, tia phóng xạ.</w:t>
      </w:r>
    </w:p>
    <w:p w:rsidR="000652A0" w:rsidRPr="00A17F06" w:rsidRDefault="009D1FDA" w:rsidP="00C16BF6">
      <w:pPr>
        <w:shd w:val="clear" w:color="auto" w:fill="FFFFFF"/>
        <w:spacing w:before="120" w:after="120" w:line="340" w:lineRule="exact"/>
        <w:ind w:firstLine="709"/>
        <w:jc w:val="both"/>
        <w:rPr>
          <w:lang w:val="vi-VN"/>
        </w:rPr>
      </w:pPr>
      <w:r w:rsidRPr="00A17F06">
        <w:t>-</w:t>
      </w:r>
      <w:r w:rsidR="000652A0" w:rsidRPr="00A17F06">
        <w:rPr>
          <w:lang w:val="vi-VN"/>
        </w:rPr>
        <w:t xml:space="preserve"> Phương tiện chống đuối nước.</w:t>
      </w:r>
    </w:p>
    <w:p w:rsidR="000652A0" w:rsidRPr="00A17F06" w:rsidRDefault="009D1FDA" w:rsidP="00C16BF6">
      <w:pPr>
        <w:shd w:val="clear" w:color="auto" w:fill="FFFFFF"/>
        <w:spacing w:before="120" w:after="120" w:line="340" w:lineRule="exact"/>
        <w:ind w:firstLine="709"/>
        <w:jc w:val="both"/>
        <w:rPr>
          <w:lang w:val="vi-VN"/>
        </w:rPr>
      </w:pPr>
      <w:r w:rsidRPr="00A17F06">
        <w:lastRenderedPageBreak/>
        <w:t>-</w:t>
      </w:r>
      <w:r w:rsidR="000652A0" w:rsidRPr="00A17F06">
        <w:rPr>
          <w:lang w:val="vi-VN"/>
        </w:rPr>
        <w:t xml:space="preserve"> Các loại phương tiện bảo đảm </w:t>
      </w:r>
      <w:r w:rsidR="00731953" w:rsidRPr="00A17F06">
        <w:rPr>
          <w:lang w:val="vi-VN"/>
        </w:rPr>
        <w:t>ATVSLĐ</w:t>
      </w:r>
      <w:r w:rsidR="000652A0" w:rsidRPr="00A17F06">
        <w:rPr>
          <w:lang w:val="vi-VN"/>
        </w:rPr>
        <w:t xml:space="preserve"> khác.</w:t>
      </w:r>
    </w:p>
    <w:p w:rsidR="000652A0" w:rsidRPr="00A17F06" w:rsidRDefault="004458CB" w:rsidP="00C16BF6">
      <w:pPr>
        <w:shd w:val="clear" w:color="auto" w:fill="FFFFFF"/>
        <w:spacing w:before="120" w:after="120" w:line="340" w:lineRule="exact"/>
        <w:ind w:firstLine="709"/>
        <w:jc w:val="both"/>
        <w:rPr>
          <w:lang w:val="vi-VN"/>
        </w:rPr>
      </w:pPr>
      <w:r w:rsidRPr="00A17F06">
        <w:t>2</w:t>
      </w:r>
      <w:r w:rsidR="00F542B2" w:rsidRPr="00A17F06">
        <w:t>.</w:t>
      </w:r>
      <w:r w:rsidR="000652A0" w:rsidRPr="00A17F06">
        <w:rPr>
          <w:lang w:val="vi-VN"/>
        </w:rPr>
        <w:t>3. Phương tiện bảo vệ cá nhân trang cấp cho người lao động phải phù hợp với việc ngăn ngừa có hiệu quả các tác hại của các yếu tố nguy hiểm, yếu tố có hại trong môi trường lao động, dễ dàng trong sử dụng, bảo quản và không gây tác hại khác.</w:t>
      </w:r>
    </w:p>
    <w:p w:rsidR="000652A0" w:rsidRPr="00A17F06" w:rsidRDefault="004458CB" w:rsidP="00C16BF6">
      <w:pPr>
        <w:shd w:val="clear" w:color="auto" w:fill="FFFFFF"/>
        <w:spacing w:before="120" w:after="120" w:line="340" w:lineRule="exact"/>
        <w:ind w:firstLine="709"/>
        <w:jc w:val="both"/>
      </w:pPr>
      <w:r w:rsidRPr="00A17F06">
        <w:t>2</w:t>
      </w:r>
      <w:r w:rsidR="00F542B2" w:rsidRPr="00A17F06">
        <w:t>.</w:t>
      </w:r>
      <w:r w:rsidR="000652A0" w:rsidRPr="00A17F06">
        <w:rPr>
          <w:lang w:val="vi-VN"/>
        </w:rPr>
        <w:t>4. Các phương tiện bảo vệ cá nhân phải bảo đảm chất lượng theo tiêu chuẩn kỹ thuật, quy chuẩn kỹ thuật quốc gia và các quy định khác của pháp luật lao động và pháp luật chuyên ngành (nếu có)</w:t>
      </w:r>
      <w:r w:rsidR="005C7CA6" w:rsidRPr="00A17F06">
        <w:t>.</w:t>
      </w:r>
    </w:p>
    <w:p w:rsidR="005C7CA6" w:rsidRPr="00A17F06" w:rsidRDefault="004458CB" w:rsidP="00C16BF6">
      <w:pPr>
        <w:shd w:val="clear" w:color="auto" w:fill="FFFFFF"/>
        <w:spacing w:before="120" w:after="120" w:line="340" w:lineRule="exact"/>
        <w:ind w:firstLine="709"/>
        <w:jc w:val="both"/>
        <w:rPr>
          <w:b/>
        </w:rPr>
      </w:pPr>
      <w:bookmarkStart w:id="2" w:name="dieu_4"/>
      <w:r w:rsidRPr="00A17F06">
        <w:rPr>
          <w:b/>
        </w:rPr>
        <w:t>3</w:t>
      </w:r>
      <w:r w:rsidR="005C7CA6" w:rsidRPr="00A17F06">
        <w:rPr>
          <w:b/>
        </w:rPr>
        <w:t xml:space="preserve">. </w:t>
      </w:r>
      <w:r w:rsidR="005C7CA6" w:rsidRPr="00A17F06">
        <w:rPr>
          <w:b/>
          <w:lang w:val="vi-VN"/>
        </w:rPr>
        <w:t>Điều kiện được trang cấp phương tiện bảo vệ cá nhân</w:t>
      </w:r>
      <w:bookmarkEnd w:id="2"/>
      <w:r w:rsidR="003B7878" w:rsidRPr="00A17F06">
        <w:rPr>
          <w:b/>
        </w:rPr>
        <w:t xml:space="preserve"> </w:t>
      </w:r>
      <w:r w:rsidR="003B7878" w:rsidRPr="00A17F06">
        <w:rPr>
          <w:i/>
          <w:spacing w:val="-4"/>
        </w:rPr>
        <w:t>(Điều 4 Thông tư số 25/2022/TT-BLĐTBXH)</w:t>
      </w:r>
    </w:p>
    <w:p w:rsidR="005C7CA6" w:rsidRPr="00A17F06" w:rsidRDefault="005C7CA6" w:rsidP="00C16BF6">
      <w:pPr>
        <w:shd w:val="clear" w:color="auto" w:fill="FFFFFF"/>
        <w:spacing w:before="120" w:after="120" w:line="340" w:lineRule="exact"/>
        <w:ind w:firstLine="709"/>
        <w:jc w:val="both"/>
        <w:rPr>
          <w:lang w:val="vi-VN"/>
        </w:rPr>
      </w:pPr>
      <w:r w:rsidRPr="00A17F06">
        <w:rPr>
          <w:lang w:val="vi-VN"/>
        </w:rPr>
        <w:t>Làm việc tiếp xúc với một trong những yếu tố nguy hiểm, yếu tố có hại dưới đây thì được trang cấp phương tiện bảo vệ cá nhân:</w:t>
      </w:r>
    </w:p>
    <w:p w:rsidR="005C7CA6" w:rsidRPr="00A17F06" w:rsidRDefault="004458CB" w:rsidP="00C16BF6">
      <w:pPr>
        <w:shd w:val="clear" w:color="auto" w:fill="FFFFFF"/>
        <w:spacing w:before="120" w:after="120" w:line="340" w:lineRule="exact"/>
        <w:ind w:firstLine="709"/>
        <w:jc w:val="both"/>
        <w:rPr>
          <w:lang w:val="vi-VN"/>
        </w:rPr>
      </w:pPr>
      <w:r w:rsidRPr="00A17F06">
        <w:t>3</w:t>
      </w:r>
      <w:r w:rsidR="00F542B2" w:rsidRPr="00A17F06">
        <w:t>.</w:t>
      </w:r>
      <w:r w:rsidR="005C7CA6" w:rsidRPr="00A17F06">
        <w:rPr>
          <w:lang w:val="vi-VN"/>
        </w:rPr>
        <w:t>1. Tiếp xúc với yếu tố vật lý không đảm bảo tiêu chuẩn vệ sinh.</w:t>
      </w:r>
    </w:p>
    <w:p w:rsidR="005C7CA6" w:rsidRPr="00A17F06" w:rsidRDefault="004458CB" w:rsidP="00C16BF6">
      <w:pPr>
        <w:shd w:val="clear" w:color="auto" w:fill="FFFFFF"/>
        <w:spacing w:before="120" w:after="120" w:line="340" w:lineRule="exact"/>
        <w:ind w:firstLine="709"/>
        <w:jc w:val="both"/>
        <w:rPr>
          <w:lang w:val="vi-VN"/>
        </w:rPr>
      </w:pPr>
      <w:r w:rsidRPr="00A17F06">
        <w:t>3</w:t>
      </w:r>
      <w:r w:rsidR="00F542B2" w:rsidRPr="00A17F06">
        <w:t>.</w:t>
      </w:r>
      <w:r w:rsidR="005C7CA6" w:rsidRPr="00A17F06">
        <w:rPr>
          <w:lang w:val="vi-VN"/>
        </w:rPr>
        <w:t>2. Tiếp xúc với bụi và hóa chất độc hại.</w:t>
      </w:r>
    </w:p>
    <w:p w:rsidR="005C7CA6" w:rsidRPr="00A17F06" w:rsidRDefault="004458CB" w:rsidP="00C16BF6">
      <w:pPr>
        <w:shd w:val="clear" w:color="auto" w:fill="FFFFFF"/>
        <w:spacing w:before="120" w:after="120" w:line="340" w:lineRule="exact"/>
        <w:ind w:firstLine="709"/>
        <w:jc w:val="both"/>
        <w:rPr>
          <w:lang w:val="vi-VN"/>
        </w:rPr>
      </w:pPr>
      <w:r w:rsidRPr="00A17F06">
        <w:t>3</w:t>
      </w:r>
      <w:r w:rsidR="00F542B2" w:rsidRPr="00A17F06">
        <w:t>.</w:t>
      </w:r>
      <w:r w:rsidR="005C7CA6" w:rsidRPr="00A17F06">
        <w:rPr>
          <w:lang w:val="vi-VN"/>
        </w:rPr>
        <w:t>3. Tiếp xúc với yếu tố sinh học độc hại:</w:t>
      </w:r>
    </w:p>
    <w:p w:rsidR="005C7CA6" w:rsidRPr="00A17F06" w:rsidRDefault="009D1FDA" w:rsidP="00C16BF6">
      <w:pPr>
        <w:shd w:val="clear" w:color="auto" w:fill="FFFFFF"/>
        <w:spacing w:before="120" w:after="120" w:line="340" w:lineRule="exact"/>
        <w:ind w:firstLine="709"/>
        <w:jc w:val="both"/>
        <w:rPr>
          <w:lang w:val="vi-VN"/>
        </w:rPr>
      </w:pPr>
      <w:r w:rsidRPr="00A17F06">
        <w:t>-</w:t>
      </w:r>
      <w:r w:rsidR="005C7CA6" w:rsidRPr="00A17F06">
        <w:rPr>
          <w:lang w:val="vi-VN"/>
        </w:rPr>
        <w:t xml:space="preserve"> Vi rút, vi khuẩn độc hại gây bệnh, côn trùng có hại;</w:t>
      </w:r>
    </w:p>
    <w:p w:rsidR="005C7CA6" w:rsidRPr="00A17F06" w:rsidRDefault="009D1FDA" w:rsidP="00C16BF6">
      <w:pPr>
        <w:shd w:val="clear" w:color="auto" w:fill="FFFFFF"/>
        <w:spacing w:before="120" w:after="120" w:line="340" w:lineRule="exact"/>
        <w:ind w:firstLine="709"/>
        <w:jc w:val="both"/>
        <w:rPr>
          <w:lang w:val="vi-VN"/>
        </w:rPr>
      </w:pPr>
      <w:r w:rsidRPr="00A17F06">
        <w:t>-</w:t>
      </w:r>
      <w:r w:rsidR="005C7CA6" w:rsidRPr="00A17F06">
        <w:rPr>
          <w:lang w:val="vi-VN"/>
        </w:rPr>
        <w:t xml:space="preserve"> Phân, nước thải, rác, cống rãnh;</w:t>
      </w:r>
    </w:p>
    <w:p w:rsidR="005C7CA6" w:rsidRPr="00A17F06" w:rsidRDefault="009D1FDA" w:rsidP="00C16BF6">
      <w:pPr>
        <w:shd w:val="clear" w:color="auto" w:fill="FFFFFF"/>
        <w:spacing w:before="120" w:after="120" w:line="340" w:lineRule="exact"/>
        <w:ind w:firstLine="709"/>
        <w:jc w:val="both"/>
        <w:rPr>
          <w:lang w:val="vi-VN"/>
        </w:rPr>
      </w:pPr>
      <w:r w:rsidRPr="00A17F06">
        <w:t>-</w:t>
      </w:r>
      <w:r w:rsidR="005C7CA6" w:rsidRPr="00A17F06">
        <w:rPr>
          <w:lang w:val="vi-VN"/>
        </w:rPr>
        <w:t xml:space="preserve"> Các yếu tố sinh học độc hại khác.</w:t>
      </w:r>
    </w:p>
    <w:p w:rsidR="005C7CA6" w:rsidRPr="00A17F06" w:rsidRDefault="004458CB" w:rsidP="00C16BF6">
      <w:pPr>
        <w:shd w:val="clear" w:color="auto" w:fill="FFFFFF"/>
        <w:spacing w:before="120" w:after="120" w:line="340" w:lineRule="exact"/>
        <w:ind w:firstLine="709"/>
        <w:jc w:val="both"/>
        <w:rPr>
          <w:lang w:val="vi-VN"/>
        </w:rPr>
      </w:pPr>
      <w:r w:rsidRPr="00A17F06">
        <w:t>3</w:t>
      </w:r>
      <w:r w:rsidR="00F542B2" w:rsidRPr="00A17F06">
        <w:t>.</w:t>
      </w:r>
      <w:r w:rsidR="005C7CA6" w:rsidRPr="00A17F06">
        <w:rPr>
          <w:lang w:val="vi-VN"/>
        </w:rPr>
        <w:t xml:space="preserve">4. Làm việc với máy, thiết bị, công cụ lao động tiềm ẩn các mối nguy mất </w:t>
      </w:r>
      <w:r w:rsidR="00731953" w:rsidRPr="00A17F06">
        <w:rPr>
          <w:lang w:val="vi-VN"/>
        </w:rPr>
        <w:t>ATVSLĐ</w:t>
      </w:r>
      <w:r w:rsidR="005C7CA6" w:rsidRPr="00A17F06">
        <w:rPr>
          <w:lang w:val="vi-VN"/>
        </w:rPr>
        <w:t>, làm việc ở vị trí mà tư thế lao động nguy hiểm dễ gây ra tai nạn lao động; làm việc trên cao; làm việc trong hầm lò, nơi thiếu dưỡng khí; làm việc trên biển, trên sông nước, trong hầm sâu, trong không gian hạn chế, trong rừng; làm việc trong núi đá, hang đá hoặc điều kiện lao động nguy hiểm, độc hại khác.</w:t>
      </w:r>
    </w:p>
    <w:p w:rsidR="000652A0" w:rsidRPr="00A17F06" w:rsidRDefault="004458CB" w:rsidP="00C16BF6">
      <w:pPr>
        <w:shd w:val="clear" w:color="auto" w:fill="FFFFFF"/>
        <w:spacing w:before="120" w:after="120" w:line="340" w:lineRule="exact"/>
        <w:ind w:firstLine="709"/>
        <w:jc w:val="both"/>
        <w:rPr>
          <w:b/>
          <w:lang w:val="vi-VN"/>
        </w:rPr>
      </w:pPr>
      <w:bookmarkStart w:id="3" w:name="dieu_8"/>
      <w:r w:rsidRPr="00A17F06">
        <w:rPr>
          <w:b/>
        </w:rPr>
        <w:t>4</w:t>
      </w:r>
      <w:r w:rsidR="000652A0" w:rsidRPr="00A17F06">
        <w:rPr>
          <w:b/>
          <w:lang w:val="vi-VN"/>
        </w:rPr>
        <w:t>. Trách nhiệm của người sử dụng lao động</w:t>
      </w:r>
      <w:bookmarkEnd w:id="3"/>
      <w:r w:rsidR="003B7878" w:rsidRPr="00A17F06">
        <w:rPr>
          <w:b/>
        </w:rPr>
        <w:t xml:space="preserve"> </w:t>
      </w:r>
      <w:r w:rsidR="003B7878" w:rsidRPr="00A17F06">
        <w:rPr>
          <w:i/>
          <w:spacing w:val="-4"/>
        </w:rPr>
        <w:t>(Điều 8 Thông tư số 25/2022/TT-BLĐTBXH)</w:t>
      </w:r>
    </w:p>
    <w:p w:rsidR="000652A0" w:rsidRPr="00A17F06" w:rsidRDefault="004458CB" w:rsidP="00C16BF6">
      <w:pPr>
        <w:shd w:val="clear" w:color="auto" w:fill="FFFFFF"/>
        <w:spacing w:before="120" w:after="120" w:line="340" w:lineRule="exact"/>
        <w:ind w:firstLine="709"/>
        <w:jc w:val="both"/>
        <w:rPr>
          <w:lang w:val="vi-VN"/>
        </w:rPr>
      </w:pPr>
      <w:r w:rsidRPr="00A17F06">
        <w:t>4</w:t>
      </w:r>
      <w:r w:rsidR="00F542B2" w:rsidRPr="00A17F06">
        <w:t>.</w:t>
      </w:r>
      <w:r w:rsidR="000652A0" w:rsidRPr="00A17F06">
        <w:rPr>
          <w:lang w:val="vi-VN"/>
        </w:rPr>
        <w:t xml:space="preserve">1. Căn cứ vào quy định về trang cấp phương tiện bảo vệ cá nhân được ban hành tại </w:t>
      </w:r>
      <w:r w:rsidR="00932534" w:rsidRPr="00A17F06">
        <w:t xml:space="preserve">Thông tư số 25/2022/TT-BLĐTBXH </w:t>
      </w:r>
      <w:r w:rsidR="000652A0" w:rsidRPr="00A17F06">
        <w:rPr>
          <w:lang w:val="vi-VN"/>
        </w:rPr>
        <w:t>và thời hạn sử dụng phương tiện bảo vệ cá nhân đã được quyết định, hằng năm, người sử dụng lao động tham khảo ý kiến của tổ chức đại diện người lao động tại cơ sở để lập kế hoạch mua sắm (bao gồm cả dự phòng), trang cấp phương tiện bảo vệ cá nhân cho người lao động.</w:t>
      </w:r>
    </w:p>
    <w:p w:rsidR="000652A0" w:rsidRPr="00A17F06" w:rsidRDefault="004458CB" w:rsidP="00C16BF6">
      <w:pPr>
        <w:shd w:val="clear" w:color="auto" w:fill="FFFFFF"/>
        <w:spacing w:before="120" w:after="120" w:line="340" w:lineRule="exact"/>
        <w:ind w:firstLine="709"/>
        <w:jc w:val="both"/>
        <w:rPr>
          <w:lang w:val="vi-VN"/>
        </w:rPr>
      </w:pPr>
      <w:r w:rsidRPr="00A17F06">
        <w:t>4</w:t>
      </w:r>
      <w:r w:rsidR="00F542B2" w:rsidRPr="00A17F06">
        <w:t>.</w:t>
      </w:r>
      <w:r w:rsidR="000652A0" w:rsidRPr="00A17F06">
        <w:rPr>
          <w:lang w:val="vi-VN"/>
        </w:rPr>
        <w:t>2. Kiểm tra chất lượng phương tiện bảo vệ cá nhân trước khi trang cấp, trong quá trình sử dụng. Trường hợp cấp phát cho người đại diện ở tổ đội, phân xưởng nơi người lao động làm việc thì phải tổ chức kiểm tra, giám sát việc giao nhận phương tiện bảo vệ cá nhân cho người lao động.</w:t>
      </w:r>
    </w:p>
    <w:p w:rsidR="000652A0" w:rsidRPr="00A17F06" w:rsidRDefault="004458CB" w:rsidP="00C16BF6">
      <w:pPr>
        <w:shd w:val="clear" w:color="auto" w:fill="FFFFFF"/>
        <w:spacing w:before="120" w:after="120" w:line="340" w:lineRule="exact"/>
        <w:ind w:firstLine="709"/>
        <w:jc w:val="both"/>
        <w:rPr>
          <w:lang w:val="vi-VN"/>
        </w:rPr>
      </w:pPr>
      <w:r w:rsidRPr="00A17F06">
        <w:lastRenderedPageBreak/>
        <w:t>4</w:t>
      </w:r>
      <w:r w:rsidR="00F542B2" w:rsidRPr="00A17F06">
        <w:t>.</w:t>
      </w:r>
      <w:r w:rsidR="000652A0" w:rsidRPr="00A17F06">
        <w:rPr>
          <w:lang w:val="vi-VN"/>
        </w:rPr>
        <w:t xml:space="preserve">3. Lập sổ trang cấp, theo dõi việc trang cấp phương tiện bảo vệ cá nhân có chữ ký xác nhận của người lao động hoặc người đại diện của tổ đội, phân xưởng nơi người lao động làm việc nhận phương tiện bảo vệ cá nhân theo mẫu quy định tại Phụ lục II ban hành kèm theo </w:t>
      </w:r>
      <w:r w:rsidR="00932534" w:rsidRPr="00A17F06">
        <w:t>Thông tư số 25/2022/TT-BLĐTBXH.</w:t>
      </w:r>
    </w:p>
    <w:p w:rsidR="000652A0" w:rsidRPr="00A17F06" w:rsidRDefault="000652A0" w:rsidP="00C16BF6">
      <w:pPr>
        <w:shd w:val="clear" w:color="auto" w:fill="FFFFFF"/>
        <w:spacing w:before="120" w:after="120" w:line="340" w:lineRule="exact"/>
        <w:ind w:firstLine="709"/>
        <w:jc w:val="both"/>
        <w:rPr>
          <w:lang w:val="vi-VN"/>
        </w:rPr>
      </w:pPr>
      <w:r w:rsidRPr="00A17F06">
        <w:rPr>
          <w:lang w:val="vi-VN"/>
        </w:rPr>
        <w:t>Khuyến khích người sử dụng lao động thực hiện số hóa việc theo dõi, cấp phát trang cấp phương tiện bảo vệ cá nhân, bảo đảm việc xác nhận của người lao động phù hợp với ứng dụng công nghệ thông tin.</w:t>
      </w:r>
    </w:p>
    <w:p w:rsidR="000652A0" w:rsidRPr="00A17F06" w:rsidRDefault="004458CB" w:rsidP="00C16BF6">
      <w:pPr>
        <w:shd w:val="clear" w:color="auto" w:fill="FFFFFF"/>
        <w:spacing w:before="120" w:after="120" w:line="340" w:lineRule="exact"/>
        <w:ind w:firstLine="709"/>
        <w:jc w:val="both"/>
        <w:rPr>
          <w:lang w:val="vi-VN"/>
        </w:rPr>
      </w:pPr>
      <w:r w:rsidRPr="00A17F06">
        <w:t>4</w:t>
      </w:r>
      <w:r w:rsidR="00F542B2" w:rsidRPr="00A17F06">
        <w:t>.</w:t>
      </w:r>
      <w:r w:rsidR="000652A0" w:rsidRPr="00A17F06">
        <w:rPr>
          <w:lang w:val="vi-VN"/>
        </w:rPr>
        <w:t>4. Tham khảo ý kiến của tổ chức đại diện người lao động tại cơ sở trước khi quyết định thời hạn sử dụng, số lượng phương tiện bảo vệ cá nhân trang cấp cho người lao động.</w:t>
      </w:r>
    </w:p>
    <w:p w:rsidR="000652A0" w:rsidRPr="00A17F06" w:rsidRDefault="004458CB" w:rsidP="00C16BF6">
      <w:pPr>
        <w:shd w:val="clear" w:color="auto" w:fill="FFFFFF"/>
        <w:spacing w:before="120" w:after="120" w:line="340" w:lineRule="exact"/>
        <w:ind w:firstLine="709"/>
        <w:jc w:val="both"/>
        <w:rPr>
          <w:lang w:val="vi-VN"/>
        </w:rPr>
      </w:pPr>
      <w:r w:rsidRPr="00A17F06">
        <w:t>4</w:t>
      </w:r>
      <w:r w:rsidR="00F542B2" w:rsidRPr="00A17F06">
        <w:t>.</w:t>
      </w:r>
      <w:r w:rsidR="000652A0" w:rsidRPr="00A17F06">
        <w:rPr>
          <w:lang w:val="vi-VN"/>
        </w:rPr>
        <w:t xml:space="preserve">5. Bảo đảm các nguyên tắc được quy định tại khoản 3 Điều 23 Luật </w:t>
      </w:r>
      <w:r w:rsidR="00731953" w:rsidRPr="00A17F06">
        <w:rPr>
          <w:lang w:val="vi-VN"/>
        </w:rPr>
        <w:t>ATVSLĐ</w:t>
      </w:r>
      <w:r w:rsidR="000652A0" w:rsidRPr="00A17F06">
        <w:rPr>
          <w:lang w:val="vi-VN"/>
        </w:rPr>
        <w:t xml:space="preserve"> và quy định tại </w:t>
      </w:r>
      <w:r w:rsidR="00932534" w:rsidRPr="00A17F06">
        <w:t>Thông tư số 25/2022/TT-BLĐTBXH.</w:t>
      </w:r>
    </w:p>
    <w:p w:rsidR="00CD3846" w:rsidRPr="00A17F06" w:rsidRDefault="004458CB" w:rsidP="00C16BF6">
      <w:pPr>
        <w:shd w:val="clear" w:color="auto" w:fill="FFFFFF"/>
        <w:spacing w:before="120" w:after="120" w:line="340" w:lineRule="exact"/>
        <w:ind w:firstLine="709"/>
        <w:jc w:val="both"/>
      </w:pPr>
      <w:r w:rsidRPr="00A17F06">
        <w:t>4</w:t>
      </w:r>
      <w:r w:rsidR="00F542B2" w:rsidRPr="00A17F06">
        <w:t>.</w:t>
      </w:r>
      <w:r w:rsidR="000652A0" w:rsidRPr="00A17F06">
        <w:rPr>
          <w:lang w:val="vi-VN"/>
        </w:rPr>
        <w:t xml:space="preserve">6. Khi thực hiện quy định tại khoản 3 Điều 5 </w:t>
      </w:r>
      <w:r w:rsidR="00932534" w:rsidRPr="00A17F06">
        <w:t>Thông tư số 25/2022/TT-BLĐTBXH</w:t>
      </w:r>
      <w:r w:rsidR="000652A0" w:rsidRPr="00A17F06">
        <w:rPr>
          <w:lang w:val="vi-VN"/>
        </w:rPr>
        <w:t xml:space="preserve">, người sử dụng lao động phải đồng thời báo cáo về </w:t>
      </w:r>
      <w:r w:rsidR="00211F0F" w:rsidRPr="00A17F06">
        <w:t>Bộ Nội vụ</w:t>
      </w:r>
      <w:r w:rsidR="000652A0" w:rsidRPr="00A17F06">
        <w:rPr>
          <w:lang w:val="vi-VN"/>
        </w:rPr>
        <w:t xml:space="preserve"> theo mẫu quy định tại Phụ lục III ban hành kèm </w:t>
      </w:r>
      <w:r w:rsidR="00932534" w:rsidRPr="00A17F06">
        <w:t xml:space="preserve">Thông tư số 25/2022/TT-BLĐTBXH </w:t>
      </w:r>
      <w:r w:rsidR="000652A0" w:rsidRPr="00A17F06">
        <w:rPr>
          <w:lang w:val="vi-VN"/>
        </w:rPr>
        <w:t>để đề nghị xem xét sửa đổi, bổ sung vào danh mục.</w:t>
      </w:r>
      <w:r w:rsidR="00D23E1F" w:rsidRPr="00A17F06">
        <w:t>/.</w:t>
      </w:r>
    </w:p>
    <w:bookmarkEnd w:id="0"/>
    <w:p w:rsidR="00015AC3" w:rsidRPr="00A17F06" w:rsidRDefault="00015AC3" w:rsidP="000652A0">
      <w:pPr>
        <w:spacing w:before="120"/>
        <w:ind w:firstLine="709"/>
        <w:jc w:val="both"/>
        <w:rPr>
          <w:lang w:val="vi-VN"/>
        </w:rPr>
      </w:pPr>
    </w:p>
    <w:sectPr w:rsidR="00015AC3" w:rsidRPr="00A17F06" w:rsidSect="0093445B">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5B8" w:rsidRDefault="006F05B8" w:rsidP="000322ED">
      <w:r>
        <w:separator/>
      </w:r>
    </w:p>
  </w:endnote>
  <w:endnote w:type="continuationSeparator" w:id="0">
    <w:p w:rsidR="006F05B8" w:rsidRDefault="006F05B8"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5B8" w:rsidRDefault="006F05B8" w:rsidP="000322ED">
      <w:r>
        <w:separator/>
      </w:r>
    </w:p>
  </w:footnote>
  <w:footnote w:type="continuationSeparator" w:id="0">
    <w:p w:rsidR="006F05B8" w:rsidRDefault="006F05B8" w:rsidP="000322ED">
      <w:r>
        <w:continuationSeparator/>
      </w:r>
    </w:p>
  </w:footnote>
  <w:footnote w:id="1">
    <w:p w:rsidR="00731953" w:rsidRPr="00731953" w:rsidRDefault="00731953" w:rsidP="00731953">
      <w:pPr>
        <w:pStyle w:val="NormalWeb"/>
        <w:shd w:val="clear" w:color="auto" w:fill="FFFFFF"/>
        <w:spacing w:before="0" w:beforeAutospacing="0" w:after="0" w:afterAutospacing="0"/>
        <w:ind w:firstLine="709"/>
        <w:jc w:val="both"/>
        <w:rPr>
          <w:color w:val="000000"/>
          <w:sz w:val="20"/>
          <w:szCs w:val="20"/>
          <w:lang w:val="en-GB" w:eastAsia="en-GB"/>
        </w:rPr>
      </w:pPr>
      <w:r w:rsidRPr="00731953">
        <w:rPr>
          <w:rStyle w:val="FootnoteReference"/>
          <w:sz w:val="20"/>
          <w:szCs w:val="20"/>
        </w:rPr>
        <w:footnoteRef/>
      </w:r>
      <w:r w:rsidRPr="00731953">
        <w:rPr>
          <w:sz w:val="20"/>
          <w:szCs w:val="20"/>
        </w:rPr>
        <w:t xml:space="preserve"> "</w:t>
      </w:r>
      <w:r w:rsidRPr="00731953">
        <w:rPr>
          <w:color w:val="000000"/>
          <w:sz w:val="20"/>
          <w:szCs w:val="20"/>
          <w:lang w:val="en-GB" w:eastAsia="en-GB"/>
        </w:rPr>
        <w:t>1. Người lao động làm việc theo hợp đồng lao động; người thử việc; người học nghề, tập nghề để làm việc cho người sử dụng lao động.</w:t>
      </w:r>
    </w:p>
    <w:p w:rsidR="00731953" w:rsidRPr="00731953" w:rsidRDefault="00731953" w:rsidP="00731953">
      <w:pPr>
        <w:shd w:val="clear" w:color="auto" w:fill="FFFFFF"/>
        <w:ind w:firstLine="709"/>
        <w:jc w:val="both"/>
        <w:rPr>
          <w:color w:val="000000"/>
          <w:sz w:val="20"/>
          <w:szCs w:val="20"/>
          <w:lang w:val="en-GB" w:eastAsia="en-GB"/>
        </w:rPr>
      </w:pPr>
      <w:r w:rsidRPr="00731953">
        <w:rPr>
          <w:color w:val="000000"/>
          <w:sz w:val="20"/>
          <w:szCs w:val="20"/>
          <w:lang w:val="en-GB" w:eastAsia="en-GB"/>
        </w:rPr>
        <w:t>2. Cán bộ, công chức, viên chức, người thuộc lực lượng vũ trang nhân dân.</w:t>
      </w:r>
    </w:p>
    <w:p w:rsidR="00731953" w:rsidRPr="00731953" w:rsidRDefault="00731953" w:rsidP="00731953">
      <w:pPr>
        <w:pStyle w:val="FootnoteText"/>
        <w:ind w:firstLine="709"/>
        <w:jc w:val="both"/>
      </w:pPr>
      <w:r w:rsidRPr="00731953">
        <w:rPr>
          <w:color w:val="000000"/>
          <w:shd w:val="clear" w:color="auto" w:fill="FFFFFF"/>
        </w:rPr>
        <w:t>4. Người lao động Việt Nam đi làm việc tại nước ngoài theo hợp đồng; người lao động nước ngoài làm việc tại Việt Nam."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328860"/>
      <w:docPartObj>
        <w:docPartGallery w:val="Page Numbers (Top of Page)"/>
        <w:docPartUnique/>
      </w:docPartObj>
    </w:sdtPr>
    <w:sdtEndPr>
      <w:rPr>
        <w:noProof/>
      </w:rPr>
    </w:sdtEndPr>
    <w:sdtContent>
      <w:p w:rsidR="001E4E02" w:rsidRDefault="001E4E02">
        <w:pPr>
          <w:pStyle w:val="Header"/>
          <w:jc w:val="center"/>
        </w:pPr>
        <w:r>
          <w:fldChar w:fldCharType="begin"/>
        </w:r>
        <w:r>
          <w:instrText xml:space="preserve"> PAGE   \* MERGEFORMAT </w:instrText>
        </w:r>
        <w:r>
          <w:fldChar w:fldCharType="separate"/>
        </w:r>
        <w:r w:rsidR="00A17F06">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7B77"/>
    <w:rsid w:val="000112D2"/>
    <w:rsid w:val="00015AC3"/>
    <w:rsid w:val="0001665A"/>
    <w:rsid w:val="000322ED"/>
    <w:rsid w:val="000354CE"/>
    <w:rsid w:val="000652A0"/>
    <w:rsid w:val="00080ED8"/>
    <w:rsid w:val="00082434"/>
    <w:rsid w:val="0009173C"/>
    <w:rsid w:val="00093EE2"/>
    <w:rsid w:val="00097F41"/>
    <w:rsid w:val="000C26F0"/>
    <w:rsid w:val="000C70D2"/>
    <w:rsid w:val="000D698A"/>
    <w:rsid w:val="000F11C2"/>
    <w:rsid w:val="0010377E"/>
    <w:rsid w:val="00110A9B"/>
    <w:rsid w:val="00111446"/>
    <w:rsid w:val="0011530B"/>
    <w:rsid w:val="00125D30"/>
    <w:rsid w:val="00137436"/>
    <w:rsid w:val="00142934"/>
    <w:rsid w:val="00151578"/>
    <w:rsid w:val="00161CF8"/>
    <w:rsid w:val="00163612"/>
    <w:rsid w:val="001944FA"/>
    <w:rsid w:val="001A4BB5"/>
    <w:rsid w:val="001B5B77"/>
    <w:rsid w:val="001C4389"/>
    <w:rsid w:val="001E4E02"/>
    <w:rsid w:val="001E521E"/>
    <w:rsid w:val="001F2891"/>
    <w:rsid w:val="00211F0F"/>
    <w:rsid w:val="002262C7"/>
    <w:rsid w:val="00233C15"/>
    <w:rsid w:val="002439A3"/>
    <w:rsid w:val="00247C4B"/>
    <w:rsid w:val="002835B4"/>
    <w:rsid w:val="00295005"/>
    <w:rsid w:val="00296896"/>
    <w:rsid w:val="002B66FB"/>
    <w:rsid w:val="002C4937"/>
    <w:rsid w:val="002C4B5A"/>
    <w:rsid w:val="002D16C5"/>
    <w:rsid w:val="002E3175"/>
    <w:rsid w:val="002F4B9C"/>
    <w:rsid w:val="003044FE"/>
    <w:rsid w:val="00304F3F"/>
    <w:rsid w:val="00305018"/>
    <w:rsid w:val="003053DC"/>
    <w:rsid w:val="00313A59"/>
    <w:rsid w:val="0032347C"/>
    <w:rsid w:val="00333C2E"/>
    <w:rsid w:val="00334D13"/>
    <w:rsid w:val="00376A1C"/>
    <w:rsid w:val="00387F92"/>
    <w:rsid w:val="00396038"/>
    <w:rsid w:val="003A73A7"/>
    <w:rsid w:val="003B1EDB"/>
    <w:rsid w:val="003B7878"/>
    <w:rsid w:val="003D2A85"/>
    <w:rsid w:val="003E55A6"/>
    <w:rsid w:val="00402931"/>
    <w:rsid w:val="00415312"/>
    <w:rsid w:val="00423EEC"/>
    <w:rsid w:val="004337EB"/>
    <w:rsid w:val="00444CFC"/>
    <w:rsid w:val="004458CB"/>
    <w:rsid w:val="004536AD"/>
    <w:rsid w:val="004626C1"/>
    <w:rsid w:val="004A37D3"/>
    <w:rsid w:val="004E092C"/>
    <w:rsid w:val="00517701"/>
    <w:rsid w:val="0051797B"/>
    <w:rsid w:val="00521CF7"/>
    <w:rsid w:val="00535251"/>
    <w:rsid w:val="005361F8"/>
    <w:rsid w:val="00560CC7"/>
    <w:rsid w:val="00560DBB"/>
    <w:rsid w:val="00573D58"/>
    <w:rsid w:val="0058267D"/>
    <w:rsid w:val="00586CE2"/>
    <w:rsid w:val="00587EBF"/>
    <w:rsid w:val="00597218"/>
    <w:rsid w:val="005A44DB"/>
    <w:rsid w:val="005B673D"/>
    <w:rsid w:val="005B6A51"/>
    <w:rsid w:val="005C12BA"/>
    <w:rsid w:val="005C7CA6"/>
    <w:rsid w:val="00654A6C"/>
    <w:rsid w:val="00685230"/>
    <w:rsid w:val="00692C59"/>
    <w:rsid w:val="006C33BF"/>
    <w:rsid w:val="006D3E73"/>
    <w:rsid w:val="006D5695"/>
    <w:rsid w:val="006F0306"/>
    <w:rsid w:val="006F05B8"/>
    <w:rsid w:val="006F3441"/>
    <w:rsid w:val="00713B1E"/>
    <w:rsid w:val="00717C07"/>
    <w:rsid w:val="007203D0"/>
    <w:rsid w:val="007221FC"/>
    <w:rsid w:val="00731953"/>
    <w:rsid w:val="007373C6"/>
    <w:rsid w:val="00743C3D"/>
    <w:rsid w:val="00754B88"/>
    <w:rsid w:val="00760674"/>
    <w:rsid w:val="00761CC5"/>
    <w:rsid w:val="007700A2"/>
    <w:rsid w:val="00772398"/>
    <w:rsid w:val="007741A3"/>
    <w:rsid w:val="00793D53"/>
    <w:rsid w:val="00797265"/>
    <w:rsid w:val="007A53F8"/>
    <w:rsid w:val="007A59FB"/>
    <w:rsid w:val="007C467C"/>
    <w:rsid w:val="007C5BB3"/>
    <w:rsid w:val="007E1465"/>
    <w:rsid w:val="007E49AB"/>
    <w:rsid w:val="008111DD"/>
    <w:rsid w:val="00823B8B"/>
    <w:rsid w:val="008466B6"/>
    <w:rsid w:val="00846E60"/>
    <w:rsid w:val="00873755"/>
    <w:rsid w:val="00877B0D"/>
    <w:rsid w:val="00887AA4"/>
    <w:rsid w:val="00895163"/>
    <w:rsid w:val="008A1E62"/>
    <w:rsid w:val="008A20E6"/>
    <w:rsid w:val="008A27BD"/>
    <w:rsid w:val="008A4131"/>
    <w:rsid w:val="008B75F8"/>
    <w:rsid w:val="0090013F"/>
    <w:rsid w:val="0090322A"/>
    <w:rsid w:val="0090792C"/>
    <w:rsid w:val="00914719"/>
    <w:rsid w:val="0091626C"/>
    <w:rsid w:val="00932534"/>
    <w:rsid w:val="00932CE3"/>
    <w:rsid w:val="0093445B"/>
    <w:rsid w:val="00936759"/>
    <w:rsid w:val="009510BE"/>
    <w:rsid w:val="00964112"/>
    <w:rsid w:val="00964256"/>
    <w:rsid w:val="009948BB"/>
    <w:rsid w:val="009A191F"/>
    <w:rsid w:val="009A73D1"/>
    <w:rsid w:val="009B15EE"/>
    <w:rsid w:val="009B3BBB"/>
    <w:rsid w:val="009C2DA3"/>
    <w:rsid w:val="009C5DF5"/>
    <w:rsid w:val="009D1FDA"/>
    <w:rsid w:val="009F4AD0"/>
    <w:rsid w:val="00A17F06"/>
    <w:rsid w:val="00A43916"/>
    <w:rsid w:val="00A45E81"/>
    <w:rsid w:val="00A5480D"/>
    <w:rsid w:val="00A765BA"/>
    <w:rsid w:val="00A83399"/>
    <w:rsid w:val="00AA60EF"/>
    <w:rsid w:val="00AA6913"/>
    <w:rsid w:val="00AA7BB2"/>
    <w:rsid w:val="00AC4261"/>
    <w:rsid w:val="00AD39D8"/>
    <w:rsid w:val="00AD48AF"/>
    <w:rsid w:val="00AE221D"/>
    <w:rsid w:val="00AE6D15"/>
    <w:rsid w:val="00AF1962"/>
    <w:rsid w:val="00AF5750"/>
    <w:rsid w:val="00B2320D"/>
    <w:rsid w:val="00B236BF"/>
    <w:rsid w:val="00B31CEF"/>
    <w:rsid w:val="00B55282"/>
    <w:rsid w:val="00B728D2"/>
    <w:rsid w:val="00B7393A"/>
    <w:rsid w:val="00BA26A4"/>
    <w:rsid w:val="00BA66CB"/>
    <w:rsid w:val="00BA6E88"/>
    <w:rsid w:val="00BC19D4"/>
    <w:rsid w:val="00BE68D4"/>
    <w:rsid w:val="00BE7624"/>
    <w:rsid w:val="00C000C1"/>
    <w:rsid w:val="00C04CCA"/>
    <w:rsid w:val="00C16BF6"/>
    <w:rsid w:val="00C2611B"/>
    <w:rsid w:val="00C43899"/>
    <w:rsid w:val="00C53EA4"/>
    <w:rsid w:val="00C60C1E"/>
    <w:rsid w:val="00C665AC"/>
    <w:rsid w:val="00CA76D3"/>
    <w:rsid w:val="00CC1D8B"/>
    <w:rsid w:val="00CD227F"/>
    <w:rsid w:val="00CD3846"/>
    <w:rsid w:val="00D0489C"/>
    <w:rsid w:val="00D04F98"/>
    <w:rsid w:val="00D06475"/>
    <w:rsid w:val="00D1798F"/>
    <w:rsid w:val="00D23E1F"/>
    <w:rsid w:val="00D24121"/>
    <w:rsid w:val="00D265A1"/>
    <w:rsid w:val="00D43F6C"/>
    <w:rsid w:val="00D4636B"/>
    <w:rsid w:val="00D52FA4"/>
    <w:rsid w:val="00D54263"/>
    <w:rsid w:val="00D546F8"/>
    <w:rsid w:val="00D61585"/>
    <w:rsid w:val="00D85C9E"/>
    <w:rsid w:val="00D87505"/>
    <w:rsid w:val="00D91F63"/>
    <w:rsid w:val="00DB4E34"/>
    <w:rsid w:val="00DB5292"/>
    <w:rsid w:val="00DB6637"/>
    <w:rsid w:val="00DC2101"/>
    <w:rsid w:val="00DC39AD"/>
    <w:rsid w:val="00DD1153"/>
    <w:rsid w:val="00DF2CC1"/>
    <w:rsid w:val="00E03E13"/>
    <w:rsid w:val="00E13658"/>
    <w:rsid w:val="00E15F72"/>
    <w:rsid w:val="00E25299"/>
    <w:rsid w:val="00E350A1"/>
    <w:rsid w:val="00E4063A"/>
    <w:rsid w:val="00E426A1"/>
    <w:rsid w:val="00E47B5E"/>
    <w:rsid w:val="00E52056"/>
    <w:rsid w:val="00E550CD"/>
    <w:rsid w:val="00E626DE"/>
    <w:rsid w:val="00E711BE"/>
    <w:rsid w:val="00E92775"/>
    <w:rsid w:val="00EB4DEA"/>
    <w:rsid w:val="00EE3735"/>
    <w:rsid w:val="00EE4BF0"/>
    <w:rsid w:val="00F00BD7"/>
    <w:rsid w:val="00F26637"/>
    <w:rsid w:val="00F34C69"/>
    <w:rsid w:val="00F42BF4"/>
    <w:rsid w:val="00F46C97"/>
    <w:rsid w:val="00F542B2"/>
    <w:rsid w:val="00F5512B"/>
    <w:rsid w:val="00F60CD5"/>
    <w:rsid w:val="00F63732"/>
    <w:rsid w:val="00F659C0"/>
    <w:rsid w:val="00F91BCA"/>
    <w:rsid w:val="00F929BD"/>
    <w:rsid w:val="00F959FD"/>
    <w:rsid w:val="00FA203F"/>
    <w:rsid w:val="00FD163C"/>
    <w:rsid w:val="00FD4449"/>
    <w:rsid w:val="00FE36D2"/>
    <w:rsid w:val="00FE4738"/>
    <w:rsid w:val="00FE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 w:type="paragraph" w:styleId="FootnoteText">
    <w:name w:val="footnote text"/>
    <w:basedOn w:val="Normal"/>
    <w:link w:val="FootnoteTextChar"/>
    <w:uiPriority w:val="99"/>
    <w:semiHidden/>
    <w:unhideWhenUsed/>
    <w:rsid w:val="00731953"/>
    <w:rPr>
      <w:sz w:val="20"/>
      <w:szCs w:val="20"/>
    </w:rPr>
  </w:style>
  <w:style w:type="character" w:customStyle="1" w:styleId="FootnoteTextChar">
    <w:name w:val="Footnote Text Char"/>
    <w:basedOn w:val="DefaultParagraphFont"/>
    <w:link w:val="FootnoteText"/>
    <w:uiPriority w:val="99"/>
    <w:semiHidden/>
    <w:rsid w:val="007319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319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 w:type="paragraph" w:styleId="FootnoteText">
    <w:name w:val="footnote text"/>
    <w:basedOn w:val="Normal"/>
    <w:link w:val="FootnoteTextChar"/>
    <w:uiPriority w:val="99"/>
    <w:semiHidden/>
    <w:unhideWhenUsed/>
    <w:rsid w:val="00731953"/>
    <w:rPr>
      <w:sz w:val="20"/>
      <w:szCs w:val="20"/>
    </w:rPr>
  </w:style>
  <w:style w:type="character" w:customStyle="1" w:styleId="FootnoteTextChar">
    <w:name w:val="Footnote Text Char"/>
    <w:basedOn w:val="DefaultParagraphFont"/>
    <w:link w:val="FootnoteText"/>
    <w:uiPriority w:val="99"/>
    <w:semiHidden/>
    <w:rsid w:val="007319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319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135412225">
      <w:bodyDiv w:val="1"/>
      <w:marLeft w:val="0"/>
      <w:marRight w:val="0"/>
      <w:marTop w:val="0"/>
      <w:marBottom w:val="0"/>
      <w:divBdr>
        <w:top w:val="none" w:sz="0" w:space="0" w:color="auto"/>
        <w:left w:val="none" w:sz="0" w:space="0" w:color="auto"/>
        <w:bottom w:val="none" w:sz="0" w:space="0" w:color="auto"/>
        <w:right w:val="none" w:sz="0" w:space="0" w:color="auto"/>
      </w:divBdr>
    </w:div>
    <w:div w:id="149179227">
      <w:bodyDiv w:val="1"/>
      <w:marLeft w:val="0"/>
      <w:marRight w:val="0"/>
      <w:marTop w:val="0"/>
      <w:marBottom w:val="0"/>
      <w:divBdr>
        <w:top w:val="none" w:sz="0" w:space="0" w:color="auto"/>
        <w:left w:val="none" w:sz="0" w:space="0" w:color="auto"/>
        <w:bottom w:val="none" w:sz="0" w:space="0" w:color="auto"/>
        <w:right w:val="none" w:sz="0" w:space="0" w:color="auto"/>
      </w:divBdr>
    </w:div>
    <w:div w:id="212893082">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23783510">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765544001">
      <w:bodyDiv w:val="1"/>
      <w:marLeft w:val="0"/>
      <w:marRight w:val="0"/>
      <w:marTop w:val="0"/>
      <w:marBottom w:val="0"/>
      <w:divBdr>
        <w:top w:val="none" w:sz="0" w:space="0" w:color="auto"/>
        <w:left w:val="none" w:sz="0" w:space="0" w:color="auto"/>
        <w:bottom w:val="none" w:sz="0" w:space="0" w:color="auto"/>
        <w:right w:val="none" w:sz="0" w:space="0" w:color="auto"/>
      </w:divBdr>
    </w:div>
    <w:div w:id="841505864">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1001544832">
      <w:bodyDiv w:val="1"/>
      <w:marLeft w:val="0"/>
      <w:marRight w:val="0"/>
      <w:marTop w:val="0"/>
      <w:marBottom w:val="0"/>
      <w:divBdr>
        <w:top w:val="none" w:sz="0" w:space="0" w:color="auto"/>
        <w:left w:val="none" w:sz="0" w:space="0" w:color="auto"/>
        <w:bottom w:val="none" w:sz="0" w:space="0" w:color="auto"/>
        <w:right w:val="none" w:sz="0" w:space="0" w:color="auto"/>
      </w:divBdr>
    </w:div>
    <w:div w:id="1163860052">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256479338">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42736241">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1869374306">
      <w:bodyDiv w:val="1"/>
      <w:marLeft w:val="0"/>
      <w:marRight w:val="0"/>
      <w:marTop w:val="0"/>
      <w:marBottom w:val="0"/>
      <w:divBdr>
        <w:top w:val="none" w:sz="0" w:space="0" w:color="auto"/>
        <w:left w:val="none" w:sz="0" w:space="0" w:color="auto"/>
        <w:bottom w:val="none" w:sz="0" w:space="0" w:color="auto"/>
        <w:right w:val="none" w:sz="0" w:space="0" w:color="auto"/>
      </w:divBdr>
    </w:div>
    <w:div w:id="1959027254">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69507-BDC0-4DAB-A9E4-43003E63A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Admin</cp:lastModifiedBy>
  <cp:revision>72</cp:revision>
  <cp:lastPrinted>2021-05-05T00:21:00Z</cp:lastPrinted>
  <dcterms:created xsi:type="dcterms:W3CDTF">2021-05-05T00:24:00Z</dcterms:created>
  <dcterms:modified xsi:type="dcterms:W3CDTF">2025-07-28T01:46:00Z</dcterms:modified>
</cp:coreProperties>
</file>