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46" w:rsidRPr="003344AF" w:rsidRDefault="00CD3846" w:rsidP="006E2680">
      <w:pPr>
        <w:tabs>
          <w:tab w:val="left" w:pos="1528"/>
        </w:tabs>
        <w:jc w:val="center"/>
        <w:rPr>
          <w:b/>
          <w:i/>
        </w:rPr>
      </w:pPr>
      <w:r w:rsidRPr="003344AF">
        <w:rPr>
          <w:b/>
          <w:i/>
          <w:lang w:val="vi-VN"/>
        </w:rPr>
        <w:t xml:space="preserve">Phụ lục </w:t>
      </w:r>
      <w:r w:rsidR="003F0474" w:rsidRPr="003344AF">
        <w:rPr>
          <w:b/>
          <w:i/>
        </w:rPr>
        <w:t>1</w:t>
      </w:r>
      <w:r w:rsidR="000F702E">
        <w:rPr>
          <w:b/>
          <w:i/>
        </w:rPr>
        <w:t>8</w:t>
      </w:r>
    </w:p>
    <w:p w:rsidR="003344AF" w:rsidRDefault="002D1631" w:rsidP="006E2680">
      <w:pPr>
        <w:shd w:val="clear" w:color="auto" w:fill="FFFFFF"/>
        <w:spacing w:before="120" w:line="234" w:lineRule="atLeast"/>
        <w:jc w:val="center"/>
        <w:rPr>
          <w:b/>
          <w:spacing w:val="-2"/>
        </w:rPr>
      </w:pPr>
      <w:bookmarkStart w:id="0" w:name="dieu_3"/>
      <w:r w:rsidRPr="002D1631">
        <w:rPr>
          <w:b/>
          <w:spacing w:val="-2"/>
        </w:rPr>
        <w:t>CHẾ ĐỘ BỒI DƯỠNG BẰNG HIỆN VẬT ĐỐI VỚI NGƯỜI LAO ĐỘNG LÀM VIỆC TRONG ĐIỀU KIỆN CÓ YẾU TỐ NGUY HIỂM, ĐỘC HẠI</w:t>
      </w:r>
    </w:p>
    <w:p w:rsidR="00655941" w:rsidRDefault="00655941" w:rsidP="006E2680">
      <w:pPr>
        <w:jc w:val="center"/>
        <w:rPr>
          <w:b/>
          <w:bCs/>
        </w:rPr>
      </w:pPr>
      <w:r w:rsidRPr="00B3614B">
        <w:rPr>
          <w:i/>
        </w:rPr>
        <w:t xml:space="preserve">(Kèm theo Công văn số </w:t>
      </w:r>
      <w:r>
        <w:rPr>
          <w:i/>
        </w:rPr>
        <w:t xml:space="preserve">      /SNV</w:t>
      </w:r>
      <w:r w:rsidRPr="00B3614B">
        <w:rPr>
          <w:i/>
        </w:rPr>
        <w:t>-LĐVL</w:t>
      </w:r>
      <w:r>
        <w:rPr>
          <w:i/>
        </w:rPr>
        <w:t>&amp;CS</w:t>
      </w:r>
      <w:r w:rsidRPr="00B3614B">
        <w:rPr>
          <w:i/>
        </w:rPr>
        <w:t xml:space="preserve"> ngày </w:t>
      </w:r>
      <w:r>
        <w:rPr>
          <w:i/>
        </w:rPr>
        <w:t xml:space="preserve">      </w:t>
      </w:r>
      <w:r w:rsidRPr="00B3614B">
        <w:rPr>
          <w:i/>
        </w:rPr>
        <w:t>/</w:t>
      </w:r>
      <w:r w:rsidR="000F702E">
        <w:rPr>
          <w:i/>
        </w:rPr>
        <w:t>7</w:t>
      </w:r>
      <w:r w:rsidRPr="00B3614B">
        <w:rPr>
          <w:i/>
        </w:rPr>
        <w:t>/202</w:t>
      </w:r>
      <w:r>
        <w:rPr>
          <w:i/>
        </w:rPr>
        <w:t>5</w:t>
      </w:r>
      <w:r w:rsidRPr="00B3614B">
        <w:rPr>
          <w:i/>
        </w:rPr>
        <w:t xml:space="preserve"> của Sở </w:t>
      </w:r>
      <w:r>
        <w:rPr>
          <w:i/>
        </w:rPr>
        <w:t>Nội vụ</w:t>
      </w:r>
      <w:r w:rsidRPr="00B3614B">
        <w:rPr>
          <w:i/>
        </w:rPr>
        <w:t>)</w:t>
      </w:r>
    </w:p>
    <w:p w:rsidR="002D1631" w:rsidRDefault="002D1631" w:rsidP="003344AF">
      <w:pPr>
        <w:shd w:val="clear" w:color="auto" w:fill="FFFFFF"/>
        <w:spacing w:line="234" w:lineRule="atLeast"/>
        <w:ind w:firstLine="709"/>
        <w:jc w:val="both"/>
        <w:rPr>
          <w:b/>
          <w:bCs/>
          <w:color w:val="000000"/>
        </w:rPr>
      </w:pPr>
    </w:p>
    <w:p w:rsidR="003344AF" w:rsidRPr="000F24B9" w:rsidRDefault="002D1631" w:rsidP="006E2680">
      <w:pPr>
        <w:shd w:val="clear" w:color="auto" w:fill="FFFFFF"/>
        <w:spacing w:before="120" w:after="120" w:line="360" w:lineRule="exact"/>
        <w:ind w:firstLine="709"/>
        <w:jc w:val="both"/>
        <w:rPr>
          <w:i/>
          <w:color w:val="000000"/>
        </w:rPr>
      </w:pPr>
      <w:r>
        <w:rPr>
          <w:b/>
          <w:bCs/>
          <w:color w:val="000000"/>
        </w:rPr>
        <w:t>I</w:t>
      </w:r>
      <w:r w:rsidR="003344AF" w:rsidRPr="003344AF">
        <w:rPr>
          <w:b/>
          <w:bCs/>
          <w:color w:val="000000"/>
        </w:rPr>
        <w:t>. Điều kiện được hưởng bồi dưỡng bằng hiện vật</w:t>
      </w:r>
      <w:bookmarkEnd w:id="0"/>
      <w:r w:rsidR="000F24B9" w:rsidRPr="000F24B9">
        <w:rPr>
          <w:spacing w:val="-2"/>
        </w:rPr>
        <w:t xml:space="preserve"> </w:t>
      </w:r>
      <w:r w:rsidR="000F24B9" w:rsidRPr="000F24B9">
        <w:rPr>
          <w:i/>
          <w:spacing w:val="-2"/>
        </w:rPr>
        <w:t>(Điều 3 Thông tư số 24/2022/TT-BLĐTBXH)</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Người lao động được hưởng bồi dưỡng bằng hiện vật khi có đủ hai điều kiện sau:</w:t>
      </w:r>
    </w:p>
    <w:p w:rsidR="003344AF" w:rsidRPr="00A065EC" w:rsidRDefault="003344AF" w:rsidP="006E2680">
      <w:pPr>
        <w:shd w:val="clear" w:color="auto" w:fill="FFFFFF"/>
        <w:spacing w:before="120" w:after="120" w:line="360" w:lineRule="exact"/>
        <w:ind w:firstLine="709"/>
        <w:jc w:val="both"/>
        <w:rPr>
          <w:color w:val="000000"/>
          <w:spacing w:val="-2"/>
        </w:rPr>
      </w:pPr>
      <w:r w:rsidRPr="00A065EC">
        <w:rPr>
          <w:color w:val="000000"/>
          <w:spacing w:val="-2"/>
        </w:rPr>
        <w:t xml:space="preserve">1. Làm các nghề, công việc thuộc danh mục nghề, công việc đặc biệt nặng nhọc, độc hại, nguy hiểm và nặng nhọc, độc hại, nguy hiểm do Bộ trưởng Bộ Lao động - Thương binh và Xã hội ban </w:t>
      </w:r>
      <w:r w:rsidR="00A065EC" w:rsidRPr="00A065EC">
        <w:rPr>
          <w:color w:val="000000"/>
          <w:spacing w:val="-2"/>
        </w:rPr>
        <w:t>hành (tại Thông tư số 11/2020/TT-BLĐTBXH ngày 12/11/2020 của Bộ trưởng Bộ Lao động - Thương binh và Xã hội.</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2. Đang làm việc trong môi trường lao động có ít nhất 01 trong 02 yếu tố sau đây:</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a) Có ít nhất một trong các yếu tố nguy hiểm, yếu tố có hại không bảo đảm tiêu chuẩn, quy chuẩn vệ sinh cho phép theo quy định của Bộ Y tế.</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b) Tiếp xúc với ít nhất 01 yếu tố được xếp từ 4 điểm trở lên thuộc nhóm chỉ tiêu “Tiếp xúc các nguồn gây bệnh truyền nhiễm theo </w:t>
      </w:r>
      <w:bookmarkStart w:id="1" w:name="tvpllink_vywvezbeaq"/>
      <w:r w:rsidRPr="003344AF">
        <w:rPr>
          <w:color w:val="000000"/>
        </w:rPr>
        <w:t>Luật phòng, chống các bệnh truyền nhiễm</w:t>
      </w:r>
      <w:bookmarkEnd w:id="1"/>
      <w:r w:rsidR="004E74B3">
        <w:rPr>
          <w:color w:val="000000"/>
        </w:rPr>
        <w:t>”.</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 xml:space="preserve">Việc xác định các yếu tố </w:t>
      </w:r>
      <w:r w:rsidR="002B5971">
        <w:rPr>
          <w:color w:val="000000"/>
        </w:rPr>
        <w:t>nêu trên</w:t>
      </w:r>
      <w:r w:rsidRPr="003344AF">
        <w:rPr>
          <w:color w:val="000000"/>
        </w:rPr>
        <w:t xml:space="preserve"> phải được thực hiện bởi tổ chức đủ điều kiện hoạt động quan trắc môi trường lao động theo quy định của pháp luật.</w:t>
      </w:r>
    </w:p>
    <w:p w:rsidR="003344AF" w:rsidRPr="000F24B9" w:rsidRDefault="002D1631" w:rsidP="006E2680">
      <w:pPr>
        <w:shd w:val="clear" w:color="auto" w:fill="FFFFFF"/>
        <w:spacing w:before="120" w:after="120" w:line="360" w:lineRule="exact"/>
        <w:ind w:firstLine="709"/>
        <w:jc w:val="both"/>
        <w:rPr>
          <w:i/>
          <w:color w:val="000000"/>
        </w:rPr>
      </w:pPr>
      <w:bookmarkStart w:id="2" w:name="dieu_4"/>
      <w:r>
        <w:rPr>
          <w:b/>
          <w:bCs/>
          <w:color w:val="000000"/>
        </w:rPr>
        <w:t>II</w:t>
      </w:r>
      <w:r w:rsidR="003344AF" w:rsidRPr="003344AF">
        <w:rPr>
          <w:b/>
          <w:bCs/>
          <w:color w:val="000000"/>
        </w:rPr>
        <w:t>. Mức bồi dưỡng bằng hiện vật</w:t>
      </w:r>
      <w:bookmarkEnd w:id="2"/>
      <w:r w:rsidR="000F24B9" w:rsidRPr="000F24B9">
        <w:rPr>
          <w:spacing w:val="-2"/>
        </w:rPr>
        <w:t xml:space="preserve"> </w:t>
      </w:r>
      <w:r w:rsidR="000F24B9" w:rsidRPr="000F24B9">
        <w:rPr>
          <w:i/>
          <w:spacing w:val="-2"/>
        </w:rPr>
        <w:t>(Điều 4 Thông tư số 24/2022/TT-BLĐTBXH)</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1. Bồi dưỡng bằng hiện vật được tính theo định suất hàng ngày và có giá trị bằng tiền theo các mức bồi dưỡng sau:</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a) Mức 1: 13.000 đồng;</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b) Mức 2: 20.000 đồng;</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c) Mức 3: 26.000 đồng;</w:t>
      </w:r>
    </w:p>
    <w:p w:rsidR="003344AF" w:rsidRDefault="003344AF" w:rsidP="006E2680">
      <w:pPr>
        <w:shd w:val="clear" w:color="auto" w:fill="FFFFFF"/>
        <w:spacing w:before="120" w:after="120" w:line="360" w:lineRule="exact"/>
        <w:ind w:firstLine="709"/>
        <w:jc w:val="both"/>
        <w:rPr>
          <w:color w:val="000000"/>
        </w:rPr>
      </w:pPr>
      <w:r w:rsidRPr="003344AF">
        <w:rPr>
          <w:color w:val="000000"/>
        </w:rPr>
        <w:t>d) Mức 4: 32.000 đồng.</w:t>
      </w:r>
    </w:p>
    <w:p w:rsidR="00086643" w:rsidRPr="00086643" w:rsidRDefault="00086643" w:rsidP="006E2680">
      <w:pPr>
        <w:shd w:val="clear" w:color="auto" w:fill="FFFFFF"/>
        <w:spacing w:before="120" w:after="120" w:line="360" w:lineRule="exact"/>
        <w:ind w:firstLine="709"/>
        <w:jc w:val="both"/>
        <w:rPr>
          <w:i/>
          <w:color w:val="000000"/>
        </w:rPr>
      </w:pPr>
      <w:bookmarkStart w:id="3" w:name="chuong_pl_1_name"/>
      <w:r w:rsidRPr="00086643">
        <w:rPr>
          <w:i/>
          <w:color w:val="000000"/>
          <w:shd w:val="clear" w:color="auto" w:fill="FFFFFF"/>
        </w:rPr>
        <w:t>(Có Bảng xác định mức bồi dưỡng bằng hiện vật theo đặc điểm điều kiện lao động</w:t>
      </w:r>
      <w:bookmarkEnd w:id="3"/>
      <w:r w:rsidRPr="00086643">
        <w:rPr>
          <w:i/>
          <w:color w:val="000000"/>
          <w:shd w:val="clear" w:color="auto" w:fill="FFFFFF"/>
        </w:rPr>
        <w:t xml:space="preserve"> kèm theo)</w:t>
      </w:r>
    </w:p>
    <w:p w:rsidR="003344AF" w:rsidRPr="00BC7C1F" w:rsidRDefault="003344AF" w:rsidP="006E2680">
      <w:pPr>
        <w:shd w:val="clear" w:color="auto" w:fill="FFFFFF"/>
        <w:spacing w:before="120" w:after="120" w:line="360" w:lineRule="exact"/>
        <w:ind w:firstLine="709"/>
        <w:jc w:val="both"/>
        <w:rPr>
          <w:color w:val="000000"/>
          <w:spacing w:val="-2"/>
        </w:rPr>
      </w:pPr>
      <w:r w:rsidRPr="00BC7C1F">
        <w:rPr>
          <w:color w:val="000000"/>
          <w:spacing w:val="-2"/>
        </w:rPr>
        <w:t>2. Đối với người lao động đủ các điều kiện theo quy định tại </w:t>
      </w:r>
      <w:bookmarkStart w:id="4" w:name="tc_1"/>
      <w:r w:rsidRPr="00BC7C1F">
        <w:rPr>
          <w:color w:val="000000"/>
          <w:spacing w:val="-2"/>
        </w:rPr>
        <w:t xml:space="preserve">Điều 3 </w:t>
      </w:r>
      <w:bookmarkEnd w:id="4"/>
      <w:r w:rsidR="00BC7C1F" w:rsidRPr="00BC7C1F">
        <w:rPr>
          <w:spacing w:val="-2"/>
        </w:rPr>
        <w:t>Thông tư số 24/2022/TT-BLĐTBXH</w:t>
      </w:r>
      <w:r w:rsidRPr="00BC7C1F">
        <w:rPr>
          <w:color w:val="000000"/>
          <w:spacing w:val="-2"/>
        </w:rPr>
        <w:t>, mức bồi dưỡng cụ thể theo từng nghề, công việc được quy định tại </w:t>
      </w:r>
      <w:bookmarkStart w:id="5" w:name="bieumau_pl_1"/>
      <w:r w:rsidRPr="00BC7C1F">
        <w:rPr>
          <w:color w:val="000000"/>
          <w:spacing w:val="-2"/>
        </w:rPr>
        <w:t>Phụ lục I</w:t>
      </w:r>
      <w:bookmarkEnd w:id="5"/>
      <w:r w:rsidRPr="00BC7C1F">
        <w:rPr>
          <w:color w:val="000000"/>
          <w:spacing w:val="-2"/>
        </w:rPr>
        <w:t xml:space="preserve"> ban hành kèm theo </w:t>
      </w:r>
      <w:r w:rsidR="00BC7C1F" w:rsidRPr="00BC7C1F">
        <w:rPr>
          <w:spacing w:val="-2"/>
        </w:rPr>
        <w:t xml:space="preserve">Thông tư số 24/2022/TT-BLĐTBXH </w:t>
      </w:r>
      <w:r w:rsidRPr="00BC7C1F">
        <w:rPr>
          <w:color w:val="000000"/>
          <w:spacing w:val="-2"/>
        </w:rPr>
        <w:t>và được áp dụng theo thời gian làm việc tương ứng như sau:</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lastRenderedPageBreak/>
        <w:t>a) Nếu làm việc từ 50% thời giờ làm việc bình thường trở lên của ngày làm việc thì được hưởng cả định suất bồi dưỡng;</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b) Nếu làm dưới 50% thời giờ làm việc bình thường của ngày làm việc thì được hưởng nửa định suất bồi dưỡng;</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c) Trong trường hợp người lao động làm thêm giờ, định suất bồi dưỡng bằng hiện vật được tăng lên tương ứng với số giờ làm thêm theo nguyên tắc trên.</w:t>
      </w:r>
    </w:p>
    <w:p w:rsidR="000F24B9" w:rsidRPr="000F24B9" w:rsidRDefault="002D1631" w:rsidP="006E2680">
      <w:pPr>
        <w:shd w:val="clear" w:color="auto" w:fill="FFFFFF"/>
        <w:spacing w:before="120" w:after="120" w:line="360" w:lineRule="exact"/>
        <w:ind w:firstLine="709"/>
        <w:jc w:val="both"/>
        <w:rPr>
          <w:i/>
          <w:color w:val="000000"/>
        </w:rPr>
      </w:pPr>
      <w:bookmarkStart w:id="6" w:name="dieu_5"/>
      <w:r>
        <w:rPr>
          <w:b/>
          <w:bCs/>
          <w:color w:val="000000"/>
        </w:rPr>
        <w:t>III</w:t>
      </w:r>
      <w:r w:rsidR="003344AF" w:rsidRPr="003344AF">
        <w:rPr>
          <w:b/>
          <w:bCs/>
          <w:color w:val="000000"/>
        </w:rPr>
        <w:t>. Nguyên tắc tổ chức bồi dưỡng bằng hiện vật</w:t>
      </w:r>
      <w:bookmarkEnd w:id="6"/>
      <w:r w:rsidR="000F24B9">
        <w:rPr>
          <w:b/>
          <w:bCs/>
          <w:color w:val="000000"/>
        </w:rPr>
        <w:t xml:space="preserve"> </w:t>
      </w:r>
      <w:r w:rsidR="000F24B9" w:rsidRPr="000F24B9">
        <w:rPr>
          <w:i/>
          <w:spacing w:val="-2"/>
        </w:rPr>
        <w:t xml:space="preserve">(Điều </w:t>
      </w:r>
      <w:r w:rsidR="000F24B9">
        <w:rPr>
          <w:i/>
          <w:spacing w:val="-2"/>
        </w:rPr>
        <w:t>5</w:t>
      </w:r>
      <w:r w:rsidR="000F24B9" w:rsidRPr="000F24B9">
        <w:rPr>
          <w:i/>
          <w:spacing w:val="-2"/>
        </w:rPr>
        <w:t xml:space="preserve"> Thông tư số 24/2022/TT-BLĐTBXH)</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1. Việc tổ chức bồi dưỡng bằng hiện vật phải thực hiện trong ca, ngày làm việc, bảo đảm thuận tiện, an toàn, vệ sinh thực phẩm. Trường hợp người lao động làm công việc lưu động, phân tán, ít người hoặc các công việc khác có tổ chức lao động không ổn định mà không thể tổ chức bồi dưỡng tập trung tại chỗ, người sử dụng lao động phải cấp hiện vật cho người lao động để người lao động có trách nhiệm tự bồi dưỡng theo quy định. Trong trường hợp này, người sử dụng lao động phải lập danh sách cấp phát, có ký nhận của người lao động; thường xuyên kiểm tra việc thực hiện bồi dưỡng của người lao động.</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2. Không được trả bằng tiền, không được trả vào lương (bao gồm cả việc đưa vào đơn giá tiền lương) thay cho hiện vật bồi dưỡng.</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3. Khuyến khích người sử dụng lao động xem xét, quyết định việc thực hiện bồi dưỡng bằng hiện vật ở mức 1 (13.000 đồng) đối với người lao động không làm các nghề, công việc thuộc danh mục nghề, công việc đặc biệt nặng nhọc, độc hại, nguy hiểm và nặng nhọc, độc hại, nguy hiểm do Bộ trưởng Bộ Lao động - Thương binh và Xã hội quy định nhưng đang làm việc trong điều kiện lao động có ít nhất một trong các yếu tố nguy hiểm, yếu tố có hại theo quy định tại </w:t>
      </w:r>
      <w:bookmarkStart w:id="7" w:name="tc_2"/>
      <w:r w:rsidRPr="003344AF">
        <w:rPr>
          <w:color w:val="000000"/>
        </w:rPr>
        <w:t xml:space="preserve">khoản 2 Điều 3 </w:t>
      </w:r>
      <w:bookmarkEnd w:id="7"/>
      <w:r w:rsidR="00BC7C1F" w:rsidRPr="00102448">
        <w:t>Thông tư số 24/2022/TT-BLĐTBXH</w:t>
      </w:r>
      <w:r w:rsidRPr="003344AF">
        <w:rPr>
          <w:color w:val="000000"/>
        </w:rPr>
        <w:t>.</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4. Chi phí bồi dưỡng bằng hiện vật được hạch toán vào chi phí hoạt động thường xuyên, chi phí sản xuất kinh doanh theo quy định của pháp luật.</w:t>
      </w:r>
    </w:p>
    <w:p w:rsidR="000F24B9" w:rsidRPr="000F24B9" w:rsidRDefault="002D1631" w:rsidP="006E2680">
      <w:pPr>
        <w:shd w:val="clear" w:color="auto" w:fill="FFFFFF"/>
        <w:spacing w:before="120" w:after="120" w:line="360" w:lineRule="exact"/>
        <w:ind w:firstLine="709"/>
        <w:jc w:val="both"/>
        <w:rPr>
          <w:i/>
          <w:color w:val="000000"/>
        </w:rPr>
      </w:pPr>
      <w:bookmarkStart w:id="8" w:name="dieu_6"/>
      <w:r>
        <w:rPr>
          <w:b/>
          <w:bCs/>
          <w:color w:val="000000"/>
        </w:rPr>
        <w:t>IV</w:t>
      </w:r>
      <w:r w:rsidR="003344AF" w:rsidRPr="003344AF">
        <w:rPr>
          <w:b/>
          <w:bCs/>
          <w:color w:val="000000"/>
        </w:rPr>
        <w:t>. Trách nhiệm của người sử dụng lao động</w:t>
      </w:r>
      <w:bookmarkEnd w:id="8"/>
      <w:r w:rsidR="000F24B9">
        <w:rPr>
          <w:b/>
          <w:bCs/>
          <w:color w:val="000000"/>
        </w:rPr>
        <w:t xml:space="preserve"> </w:t>
      </w:r>
      <w:r w:rsidR="000F24B9" w:rsidRPr="000F24B9">
        <w:rPr>
          <w:i/>
          <w:spacing w:val="-2"/>
        </w:rPr>
        <w:t xml:space="preserve">(Điều </w:t>
      </w:r>
      <w:r w:rsidR="000F24B9">
        <w:rPr>
          <w:i/>
          <w:spacing w:val="-2"/>
        </w:rPr>
        <w:t>6</w:t>
      </w:r>
      <w:r w:rsidR="000F24B9" w:rsidRPr="000F24B9">
        <w:rPr>
          <w:i/>
          <w:spacing w:val="-2"/>
        </w:rPr>
        <w:t xml:space="preserve"> Thông tư số 24/2022/TT-BLĐTBXH)</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1. Phải áp dụng các biện pháp kỹ thuật, tăng cường các thiết bị an toàn và vệ sinh lao động để cải thiện điều kiện lao động; khi chưa thể khắc phục được hết các yếu tố nguy hiểm, yếu tố có hại thì phải tổ chức bồi dưỡng bằng hiện vật cho người lao động để ngăn ngừa bệnh tật và bảo đảm sức khỏe cho người lao động.</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2. Căn cứ vào kết quả đánh giá các điều kiện theo quy định tại </w:t>
      </w:r>
      <w:bookmarkStart w:id="9" w:name="tc_3"/>
      <w:r w:rsidRPr="003344AF">
        <w:rPr>
          <w:color w:val="000000"/>
        </w:rPr>
        <w:t xml:space="preserve">Điều 3 của Thông tư </w:t>
      </w:r>
      <w:bookmarkEnd w:id="9"/>
      <w:r w:rsidR="00B40A62" w:rsidRPr="00102448">
        <w:t>số 24/2022/TT-BLĐTBXH</w:t>
      </w:r>
      <w:r w:rsidRPr="003344AF">
        <w:rPr>
          <w:color w:val="000000"/>
        </w:rPr>
        <w:t xml:space="preserve"> để xác định mức bồi dưỡng bằng hiện vật </w:t>
      </w:r>
      <w:r w:rsidRPr="003344AF">
        <w:rPr>
          <w:color w:val="000000"/>
        </w:rPr>
        <w:lastRenderedPageBreak/>
        <w:t>tương ứng cho từng nghề, công việc cụ thể theo quy định tại </w:t>
      </w:r>
      <w:bookmarkStart w:id="10" w:name="bieumau_pl_1_1"/>
      <w:r w:rsidRPr="003344AF">
        <w:rPr>
          <w:color w:val="000000"/>
        </w:rPr>
        <w:t>Phụ lục I</w:t>
      </w:r>
      <w:bookmarkEnd w:id="10"/>
      <w:r w:rsidRPr="003344AF">
        <w:rPr>
          <w:color w:val="000000"/>
        </w:rPr>
        <w:t xml:space="preserve"> ban hành kèm theo </w:t>
      </w:r>
      <w:r w:rsidR="00BC7C1F" w:rsidRPr="00102448">
        <w:t>Thông tư số 24/2022/TT-BLĐTBXH</w:t>
      </w:r>
      <w:r w:rsidR="00BC7C1F">
        <w:t>.</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Đối với các nghề, công việc có điều kiện lao động phức tạp mà chưa thể xác định ngay mức bồi dưỡng bằng hiện vật theo quy định tại </w:t>
      </w:r>
      <w:bookmarkStart w:id="11" w:name="bieumau_pl_1_2"/>
      <w:r w:rsidRPr="003344AF">
        <w:rPr>
          <w:color w:val="000000"/>
        </w:rPr>
        <w:t>Phụ lục I</w:t>
      </w:r>
      <w:bookmarkEnd w:id="11"/>
      <w:r w:rsidRPr="003344AF">
        <w:rPr>
          <w:color w:val="000000"/>
        </w:rPr>
        <w:t xml:space="preserve"> ban hành kèm theo </w:t>
      </w:r>
      <w:r w:rsidR="00BC7C1F" w:rsidRPr="00102448">
        <w:t>Thông tư số 24/2022/TT-BLĐTBXH</w:t>
      </w:r>
      <w:r w:rsidRPr="003344AF">
        <w:rPr>
          <w:color w:val="000000"/>
        </w:rPr>
        <w:t xml:space="preserve">, người sử dụng lao động phải tổng hợp các chức danh nghề, công việc đề nghị bồi dưỡng bằng hiện vật gửi bộ, ngành hoặc Ủy ban nhân dân tỉnh, thành phố trực thuộc trung ương tổng hợp và có ý kiến gửi Bộ Lao động - Thương binh và Xã hội </w:t>
      </w:r>
      <w:r w:rsidR="00BC7C1F">
        <w:rPr>
          <w:color w:val="000000"/>
        </w:rPr>
        <w:t xml:space="preserve">(nay là Bộ Nội vụ) </w:t>
      </w:r>
      <w:r w:rsidRPr="003344AF">
        <w:rPr>
          <w:color w:val="000000"/>
        </w:rPr>
        <w:t>xem xét, quyết định mức bồi dưỡng.</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3. Khi áp dụng các biện pháp để cải thiện điều kiện lao động hoặc khi điều kiện lao động thay đổi thì phải căn cứ vào kết quả mới về điều kiện lao động để điều chỉnh các mức bồi dưỡng đúng theo quy định tại </w:t>
      </w:r>
      <w:bookmarkStart w:id="12" w:name="tc_4"/>
      <w:r w:rsidRPr="003344AF">
        <w:rPr>
          <w:color w:val="000000"/>
        </w:rPr>
        <w:t xml:space="preserve">Điều 3 và Điều 4 của </w:t>
      </w:r>
      <w:bookmarkEnd w:id="12"/>
      <w:r w:rsidR="00BC7C1F" w:rsidRPr="00102448">
        <w:t>Thông tư số 24/2022/TT-BLĐTBXH</w:t>
      </w:r>
      <w:r w:rsidRPr="003344AF">
        <w:rPr>
          <w:color w:val="000000"/>
        </w:rPr>
        <w:t xml:space="preserve">. Thường xuyên tuyên truyền mục đích, ý nghĩa của chế độ bồi dưỡng bằng hiện vật, phổ biến nội dung </w:t>
      </w:r>
      <w:r w:rsidR="00BC7C1F" w:rsidRPr="00102448">
        <w:t xml:space="preserve">Thông tư số 24/2022/TT-BLĐTBXH </w:t>
      </w:r>
      <w:r w:rsidRPr="003344AF">
        <w:rPr>
          <w:color w:val="000000"/>
        </w:rPr>
        <w:t>đến người lao động.</w:t>
      </w:r>
    </w:p>
    <w:p w:rsidR="003344AF" w:rsidRPr="003344AF" w:rsidRDefault="003344AF" w:rsidP="006E2680">
      <w:pPr>
        <w:shd w:val="clear" w:color="auto" w:fill="FFFFFF"/>
        <w:spacing w:before="120" w:after="120" w:line="360" w:lineRule="exact"/>
        <w:ind w:firstLine="709"/>
        <w:jc w:val="both"/>
        <w:rPr>
          <w:color w:val="000000"/>
        </w:rPr>
      </w:pPr>
      <w:r w:rsidRPr="003344AF">
        <w:rPr>
          <w:color w:val="000000"/>
        </w:rPr>
        <w:t>4. Chỉ đạo bộ phận y tế cơ sở hoặc tham vấn ý kiến của chuyên gia về dinh dưỡng để xây dựng cơ cấu hiện vật dùng để bồi dưỡng phù hợp với việc thải độc, tăng cường sức đề kháng của cơ thể tương ứng với các mức bồi dưỡng, đồng thời phù hợp với từng vị trí việc làm, từng công việc cụ thể và sức khỏe của người lao động.</w:t>
      </w:r>
    </w:p>
    <w:p w:rsidR="003D6803" w:rsidRPr="003D6803" w:rsidRDefault="003344AF" w:rsidP="006E2680">
      <w:pPr>
        <w:shd w:val="clear" w:color="auto" w:fill="FFFFFF"/>
        <w:spacing w:before="120" w:after="120" w:line="360" w:lineRule="exact"/>
        <w:ind w:firstLine="709"/>
        <w:jc w:val="both"/>
        <w:rPr>
          <w:color w:val="000000"/>
        </w:rPr>
      </w:pPr>
      <w:r w:rsidRPr="003344AF">
        <w:rPr>
          <w:color w:val="000000"/>
        </w:rPr>
        <w:t>5. Nghiêm túc tổ chức việc bồi dưỡng bằng hiện vật, bảo đảm cho người lao động được hưởng đầ</w:t>
      </w:r>
      <w:r w:rsidR="004A6B94">
        <w:rPr>
          <w:color w:val="000000"/>
        </w:rPr>
        <w:t>y đủ, đúng chế độ theo quy định</w:t>
      </w:r>
      <w:r w:rsidR="003D6803">
        <w:rPr>
          <w:color w:val="000000"/>
        </w:rPr>
        <w:t xml:space="preserve"> </w:t>
      </w:r>
      <w:r w:rsidR="003D6803" w:rsidRPr="003D6803">
        <w:rPr>
          <w:spacing w:val="-2"/>
        </w:rPr>
        <w:t>Thông tư số 24/2022/TT-BLĐTBXH</w:t>
      </w:r>
      <w:r w:rsidR="003D6803">
        <w:rPr>
          <w:spacing w:val="-2"/>
        </w:rPr>
        <w:t>.</w:t>
      </w:r>
    </w:p>
    <w:p w:rsidR="002D5E0F" w:rsidRDefault="002D5E0F" w:rsidP="00086643">
      <w:pPr>
        <w:shd w:val="clear" w:color="auto" w:fill="FFFFFF"/>
        <w:ind w:firstLine="709"/>
        <w:jc w:val="center"/>
        <w:rPr>
          <w:b/>
          <w:color w:val="000000"/>
          <w:shd w:val="clear" w:color="auto" w:fill="FFFFFF"/>
        </w:rPr>
      </w:pPr>
    </w:p>
    <w:p w:rsidR="002D5E0F" w:rsidRDefault="002D5E0F"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6E2680" w:rsidRDefault="006E2680" w:rsidP="00086643">
      <w:pPr>
        <w:shd w:val="clear" w:color="auto" w:fill="FFFFFF"/>
        <w:ind w:firstLine="709"/>
        <w:jc w:val="center"/>
        <w:rPr>
          <w:b/>
          <w:color w:val="000000"/>
          <w:shd w:val="clear" w:color="auto" w:fill="FFFFFF"/>
        </w:rPr>
      </w:pPr>
    </w:p>
    <w:p w:rsidR="002D5E0F" w:rsidRDefault="002D5E0F" w:rsidP="00086643">
      <w:pPr>
        <w:shd w:val="clear" w:color="auto" w:fill="FFFFFF"/>
        <w:ind w:firstLine="709"/>
        <w:jc w:val="center"/>
        <w:rPr>
          <w:b/>
          <w:color w:val="000000"/>
          <w:shd w:val="clear" w:color="auto" w:fill="FFFFFF"/>
        </w:rPr>
      </w:pPr>
    </w:p>
    <w:p w:rsidR="002D5E0F" w:rsidRDefault="002D5E0F" w:rsidP="00086643">
      <w:pPr>
        <w:shd w:val="clear" w:color="auto" w:fill="FFFFFF"/>
        <w:ind w:firstLine="709"/>
        <w:jc w:val="center"/>
        <w:rPr>
          <w:b/>
          <w:color w:val="000000"/>
          <w:shd w:val="clear" w:color="auto" w:fill="FFFFFF"/>
        </w:rPr>
      </w:pPr>
    </w:p>
    <w:p w:rsidR="00086643" w:rsidRDefault="00086643" w:rsidP="00086643">
      <w:pPr>
        <w:shd w:val="clear" w:color="auto" w:fill="FFFFFF"/>
        <w:ind w:firstLine="709"/>
        <w:jc w:val="center"/>
        <w:rPr>
          <w:b/>
          <w:color w:val="000000"/>
          <w:shd w:val="clear" w:color="auto" w:fill="FFFFFF"/>
        </w:rPr>
      </w:pPr>
      <w:r w:rsidRPr="00086643">
        <w:rPr>
          <w:b/>
          <w:color w:val="000000"/>
          <w:shd w:val="clear" w:color="auto" w:fill="FFFFFF"/>
        </w:rPr>
        <w:lastRenderedPageBreak/>
        <w:t>BẢNG XÁC ĐỊNH MỨC BỒI DƯỠNG BẰNG HIỆN VẬT</w:t>
      </w:r>
    </w:p>
    <w:p w:rsidR="00086643" w:rsidRPr="00086643" w:rsidRDefault="00086643" w:rsidP="00086643">
      <w:pPr>
        <w:shd w:val="clear" w:color="auto" w:fill="FFFFFF"/>
        <w:spacing w:after="120"/>
        <w:ind w:firstLine="709"/>
        <w:jc w:val="center"/>
        <w:rPr>
          <w:b/>
          <w:color w:val="000000"/>
        </w:rPr>
      </w:pPr>
      <w:r w:rsidRPr="00086643">
        <w:rPr>
          <w:b/>
          <w:color w:val="000000"/>
          <w:shd w:val="clear" w:color="auto" w:fill="FFFFFF"/>
        </w:rPr>
        <w:t xml:space="preserve"> THEO ĐẶC ĐIỂM ĐIỀU KIỆN LAO ĐỘNG</w:t>
      </w:r>
    </w:p>
    <w:tbl>
      <w:tblPr>
        <w:tblW w:w="5302" w:type="pct"/>
        <w:tblCellSpacing w:w="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6"/>
        <w:gridCol w:w="2322"/>
        <w:gridCol w:w="5900"/>
        <w:gridCol w:w="993"/>
      </w:tblGrid>
      <w:tr w:rsidR="00086643" w:rsidRPr="00086643" w:rsidTr="006E2680">
        <w:trPr>
          <w:tblCellSpacing w:w="0" w:type="dxa"/>
        </w:trPr>
        <w:tc>
          <w:tcPr>
            <w:tcW w:w="221" w:type="pct"/>
            <w:shd w:val="clear" w:color="auto" w:fill="FFFFFF"/>
            <w:vAlign w:val="center"/>
            <w:hideMark/>
          </w:tcPr>
          <w:p w:rsidR="00086643" w:rsidRPr="00086643" w:rsidRDefault="00086643" w:rsidP="00086643">
            <w:pPr>
              <w:spacing w:before="120" w:after="120" w:line="234" w:lineRule="atLeast"/>
              <w:jc w:val="center"/>
              <w:rPr>
                <w:color w:val="000000"/>
                <w:sz w:val="24"/>
                <w:szCs w:val="24"/>
              </w:rPr>
            </w:pPr>
            <w:r w:rsidRPr="00086643">
              <w:rPr>
                <w:b/>
                <w:bCs/>
                <w:color w:val="000000"/>
                <w:sz w:val="24"/>
                <w:szCs w:val="24"/>
              </w:rPr>
              <w:t>TT</w:t>
            </w:r>
          </w:p>
        </w:tc>
        <w:tc>
          <w:tcPr>
            <w:tcW w:w="1204" w:type="pct"/>
            <w:shd w:val="clear" w:color="auto" w:fill="FFFFFF"/>
            <w:vAlign w:val="center"/>
            <w:hideMark/>
          </w:tcPr>
          <w:p w:rsidR="00086643" w:rsidRPr="00086643" w:rsidRDefault="00086643" w:rsidP="00086643">
            <w:pPr>
              <w:spacing w:before="120" w:after="120" w:line="234" w:lineRule="atLeast"/>
              <w:jc w:val="center"/>
              <w:rPr>
                <w:color w:val="000000"/>
                <w:sz w:val="24"/>
                <w:szCs w:val="24"/>
              </w:rPr>
            </w:pPr>
            <w:r w:rsidRPr="00086643">
              <w:rPr>
                <w:b/>
                <w:bCs/>
                <w:color w:val="000000"/>
                <w:sz w:val="24"/>
                <w:szCs w:val="24"/>
              </w:rPr>
              <w:t>Điều kiện lao động</w:t>
            </w:r>
          </w:p>
        </w:tc>
        <w:tc>
          <w:tcPr>
            <w:tcW w:w="3059" w:type="pct"/>
            <w:shd w:val="clear" w:color="auto" w:fill="FFFFFF"/>
            <w:vAlign w:val="center"/>
            <w:hideMark/>
          </w:tcPr>
          <w:p w:rsidR="00086643" w:rsidRPr="00086643" w:rsidRDefault="00086643" w:rsidP="006E2680">
            <w:pPr>
              <w:spacing w:before="120" w:after="120" w:line="234" w:lineRule="atLeast"/>
              <w:ind w:left="78"/>
              <w:jc w:val="center"/>
              <w:rPr>
                <w:color w:val="000000"/>
                <w:sz w:val="24"/>
                <w:szCs w:val="24"/>
              </w:rPr>
            </w:pPr>
            <w:r w:rsidRPr="00086643">
              <w:rPr>
                <w:b/>
                <w:bCs/>
                <w:color w:val="000000"/>
                <w:sz w:val="24"/>
                <w:szCs w:val="24"/>
              </w:rPr>
              <w:t>Chỉ tiêu về điều kiện lao động</w:t>
            </w:r>
          </w:p>
        </w:tc>
        <w:tc>
          <w:tcPr>
            <w:tcW w:w="515" w:type="pct"/>
            <w:shd w:val="clear" w:color="auto" w:fill="FFFFFF"/>
            <w:vAlign w:val="center"/>
            <w:hideMark/>
          </w:tcPr>
          <w:p w:rsidR="00086643" w:rsidRPr="00086643" w:rsidRDefault="00086643" w:rsidP="00086643">
            <w:pPr>
              <w:spacing w:before="120" w:after="120" w:line="234" w:lineRule="atLeast"/>
              <w:jc w:val="center"/>
              <w:rPr>
                <w:color w:val="000000"/>
                <w:sz w:val="24"/>
                <w:szCs w:val="24"/>
              </w:rPr>
            </w:pPr>
            <w:r w:rsidRPr="00086643">
              <w:rPr>
                <w:b/>
                <w:bCs/>
                <w:color w:val="000000"/>
                <w:sz w:val="24"/>
                <w:szCs w:val="24"/>
              </w:rPr>
              <w:t>Mức bồi dưỡng</w:t>
            </w:r>
          </w:p>
        </w:tc>
      </w:tr>
      <w:tr w:rsidR="00086643" w:rsidRPr="00086643" w:rsidTr="006E2680">
        <w:trPr>
          <w:tblCellSpacing w:w="0" w:type="dxa"/>
        </w:trPr>
        <w:tc>
          <w:tcPr>
            <w:tcW w:w="221" w:type="pct"/>
            <w:vMerge w:val="restart"/>
            <w:shd w:val="clear" w:color="auto" w:fill="FFFFFF"/>
            <w:hideMark/>
          </w:tcPr>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1</w:t>
            </w:r>
          </w:p>
        </w:tc>
        <w:tc>
          <w:tcPr>
            <w:tcW w:w="1204" w:type="pct"/>
            <w:vMerge w:val="restart"/>
            <w:shd w:val="clear" w:color="auto" w:fill="FFFFFF"/>
            <w:hideMark/>
          </w:tcPr>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Loại IV</w:t>
            </w:r>
          </w:p>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(Nghề, công việc nặng nhọc, độc hại, nguy hiểm)</w:t>
            </w:r>
          </w:p>
        </w:tc>
        <w:tc>
          <w:tcPr>
            <w:tcW w:w="3059" w:type="pct"/>
            <w:shd w:val="clear" w:color="auto" w:fill="FFFFFF"/>
            <w:hideMark/>
          </w:tcPr>
          <w:p w:rsidR="00086643" w:rsidRPr="00086643" w:rsidRDefault="00086643" w:rsidP="006E2680">
            <w:pPr>
              <w:spacing w:line="234" w:lineRule="atLeast"/>
              <w:ind w:left="78"/>
              <w:jc w:val="both"/>
              <w:rPr>
                <w:color w:val="000000"/>
                <w:sz w:val="24"/>
                <w:szCs w:val="24"/>
              </w:rPr>
            </w:pPr>
            <w:r w:rsidRPr="00086643">
              <w:rPr>
                <w:color w:val="000000"/>
                <w:sz w:val="24"/>
                <w:szCs w:val="24"/>
              </w:rPr>
              <w:t>Có ít nhất 01 yếu tố nguy hiểm, yếu tố có hại không đạt tiêu chuẩn vệ sinh cho phép theo quy định của Bộ Y tế hoặc có ít nhất 01 chỉ tiêu về điều kiện lao động thuộc số thứ tự 10.1 Mục A, </w:t>
            </w:r>
            <w:bookmarkStart w:id="13" w:name="bieumau_pl_1_tt_29_2021_bldtbxh_1"/>
            <w:r w:rsidRPr="00086643">
              <w:rPr>
                <w:color w:val="000000"/>
                <w:sz w:val="24"/>
                <w:szCs w:val="24"/>
              </w:rPr>
              <w:t>Phụ lục I</w:t>
            </w:r>
            <w:bookmarkEnd w:id="13"/>
            <w:r w:rsidRPr="00086643">
              <w:rPr>
                <w:color w:val="000000"/>
                <w:sz w:val="24"/>
                <w:szCs w:val="24"/>
              </w:rPr>
              <w:t> ban hành kèm theo Thông tư số </w:t>
            </w:r>
            <w:bookmarkStart w:id="14" w:name="tvpllink_qnjsyhbpio_1"/>
            <w:r w:rsidRPr="00086643">
              <w:rPr>
                <w:color w:val="000000"/>
                <w:sz w:val="24"/>
                <w:szCs w:val="24"/>
              </w:rPr>
              <w:t>29/2021/TT-BLĐTBXH</w:t>
            </w:r>
            <w:bookmarkEnd w:id="14"/>
            <w:r w:rsidRPr="00086643">
              <w:rPr>
                <w:color w:val="000000"/>
                <w:sz w:val="24"/>
                <w:szCs w:val="24"/>
              </w:rPr>
              <w:t> xếp từ thang điểm 4 trở lên.</w:t>
            </w:r>
          </w:p>
        </w:tc>
        <w:tc>
          <w:tcPr>
            <w:tcW w:w="515" w:type="pct"/>
            <w:shd w:val="clear" w:color="auto" w:fill="FFFFFF"/>
            <w:hideMark/>
          </w:tcPr>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Mức 1</w:t>
            </w:r>
          </w:p>
        </w:tc>
      </w:tr>
      <w:tr w:rsidR="00086643" w:rsidRPr="00086643" w:rsidTr="006E2680">
        <w:trPr>
          <w:tblCellSpacing w:w="0" w:type="dxa"/>
        </w:trPr>
        <w:tc>
          <w:tcPr>
            <w:tcW w:w="221" w:type="pct"/>
            <w:vMerge/>
            <w:shd w:val="clear" w:color="auto" w:fill="FFFFFF"/>
            <w:vAlign w:val="center"/>
            <w:hideMark/>
          </w:tcPr>
          <w:p w:rsidR="00086643" w:rsidRPr="00086643" w:rsidRDefault="00086643" w:rsidP="00086643">
            <w:pPr>
              <w:rPr>
                <w:color w:val="000000"/>
                <w:sz w:val="24"/>
                <w:szCs w:val="24"/>
              </w:rPr>
            </w:pPr>
          </w:p>
        </w:tc>
        <w:tc>
          <w:tcPr>
            <w:tcW w:w="0" w:type="auto"/>
            <w:vMerge/>
            <w:shd w:val="clear" w:color="auto" w:fill="FFFFFF"/>
            <w:vAlign w:val="center"/>
            <w:hideMark/>
          </w:tcPr>
          <w:p w:rsidR="00086643" w:rsidRPr="00086643" w:rsidRDefault="00086643" w:rsidP="00086643">
            <w:pPr>
              <w:rPr>
                <w:color w:val="000000"/>
                <w:sz w:val="24"/>
                <w:szCs w:val="24"/>
              </w:rPr>
            </w:pPr>
          </w:p>
        </w:tc>
        <w:tc>
          <w:tcPr>
            <w:tcW w:w="3059" w:type="pct"/>
            <w:shd w:val="clear" w:color="auto" w:fill="FFFFFF"/>
            <w:hideMark/>
          </w:tcPr>
          <w:p w:rsidR="00086643" w:rsidRPr="00086643" w:rsidRDefault="00086643" w:rsidP="006E2680">
            <w:pPr>
              <w:spacing w:before="120" w:after="120" w:line="234" w:lineRule="atLeast"/>
              <w:ind w:left="78"/>
              <w:jc w:val="both"/>
              <w:rPr>
                <w:color w:val="000000"/>
                <w:sz w:val="24"/>
                <w:szCs w:val="24"/>
              </w:rPr>
            </w:pPr>
            <w:r w:rsidRPr="00086643">
              <w:rPr>
                <w:color w:val="000000"/>
                <w:sz w:val="24"/>
                <w:szCs w:val="24"/>
              </w:rPr>
              <w:t>Có ít nhất 02 yếu tố nguy hiểm, yếu tố có hại không đạt tiêu chuẩn vệ sinh cho phép theo quy định của Bộ Y tế.</w:t>
            </w:r>
          </w:p>
        </w:tc>
        <w:tc>
          <w:tcPr>
            <w:tcW w:w="515" w:type="pct"/>
            <w:shd w:val="clear" w:color="auto" w:fill="FFFFFF"/>
            <w:hideMark/>
          </w:tcPr>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Mức 2</w:t>
            </w:r>
          </w:p>
        </w:tc>
      </w:tr>
      <w:tr w:rsidR="00086643" w:rsidRPr="00086643" w:rsidTr="006E2680">
        <w:trPr>
          <w:tblCellSpacing w:w="0" w:type="dxa"/>
        </w:trPr>
        <w:tc>
          <w:tcPr>
            <w:tcW w:w="221" w:type="pct"/>
            <w:vMerge/>
            <w:shd w:val="clear" w:color="auto" w:fill="FFFFFF"/>
            <w:vAlign w:val="center"/>
            <w:hideMark/>
          </w:tcPr>
          <w:p w:rsidR="00086643" w:rsidRPr="00086643" w:rsidRDefault="00086643" w:rsidP="00086643">
            <w:pPr>
              <w:rPr>
                <w:color w:val="000000"/>
                <w:sz w:val="24"/>
                <w:szCs w:val="24"/>
              </w:rPr>
            </w:pPr>
          </w:p>
        </w:tc>
        <w:tc>
          <w:tcPr>
            <w:tcW w:w="0" w:type="auto"/>
            <w:vMerge/>
            <w:shd w:val="clear" w:color="auto" w:fill="FFFFFF"/>
            <w:vAlign w:val="center"/>
            <w:hideMark/>
          </w:tcPr>
          <w:p w:rsidR="00086643" w:rsidRPr="00086643" w:rsidRDefault="00086643" w:rsidP="00086643">
            <w:pPr>
              <w:rPr>
                <w:color w:val="000000"/>
                <w:sz w:val="24"/>
                <w:szCs w:val="24"/>
              </w:rPr>
            </w:pPr>
          </w:p>
        </w:tc>
        <w:tc>
          <w:tcPr>
            <w:tcW w:w="3059" w:type="pct"/>
            <w:shd w:val="clear" w:color="auto" w:fill="FFFFFF"/>
            <w:hideMark/>
          </w:tcPr>
          <w:p w:rsidR="00086643" w:rsidRPr="00086643" w:rsidRDefault="00086643" w:rsidP="006E2680">
            <w:pPr>
              <w:spacing w:line="234" w:lineRule="atLeast"/>
              <w:ind w:left="78"/>
              <w:jc w:val="both"/>
              <w:rPr>
                <w:color w:val="000000"/>
                <w:sz w:val="24"/>
                <w:szCs w:val="24"/>
              </w:rPr>
            </w:pPr>
            <w:r w:rsidRPr="00086643">
              <w:rPr>
                <w:color w:val="000000"/>
                <w:sz w:val="24"/>
                <w:szCs w:val="24"/>
              </w:rPr>
              <w:t>Có ít nhất 01 yếu tố nguy hiểm, yếu tố có hại không đạt tiêu chuẩn vệ sinh cho phép theo quy định của Bộ Y tế đồng thời có ít nhất 01 chỉ tiêu về điều kiện lao động thuộc số thứ tự 10.1 Mục A, </w:t>
            </w:r>
            <w:bookmarkStart w:id="15" w:name="bieumau_pl_1_tt_29_2021_bldtbxh_2"/>
            <w:r w:rsidRPr="00086643">
              <w:rPr>
                <w:color w:val="000000"/>
                <w:sz w:val="24"/>
                <w:szCs w:val="24"/>
              </w:rPr>
              <w:t>Phụ lục I</w:t>
            </w:r>
            <w:bookmarkEnd w:id="15"/>
            <w:r w:rsidRPr="00086643">
              <w:rPr>
                <w:color w:val="000000"/>
                <w:sz w:val="24"/>
                <w:szCs w:val="24"/>
              </w:rPr>
              <w:t> ban hành kèm theo Thông tư số </w:t>
            </w:r>
            <w:bookmarkStart w:id="16" w:name="tvpllink_qnjsyhbpio_2"/>
            <w:r w:rsidRPr="00086643">
              <w:rPr>
                <w:color w:val="000000"/>
                <w:sz w:val="24"/>
                <w:szCs w:val="24"/>
              </w:rPr>
              <w:t>29/2021/TT-BLĐTBXH</w:t>
            </w:r>
            <w:bookmarkEnd w:id="16"/>
            <w:r w:rsidRPr="00086643">
              <w:rPr>
                <w:color w:val="000000"/>
                <w:sz w:val="24"/>
                <w:szCs w:val="24"/>
              </w:rPr>
              <w:t> xếp từ thang điểm 4 trở lên.</w:t>
            </w:r>
          </w:p>
        </w:tc>
        <w:tc>
          <w:tcPr>
            <w:tcW w:w="515" w:type="pct"/>
            <w:shd w:val="clear" w:color="auto" w:fill="FFFFFF"/>
            <w:hideMark/>
          </w:tcPr>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Mức 2</w:t>
            </w:r>
          </w:p>
        </w:tc>
      </w:tr>
      <w:tr w:rsidR="00086643" w:rsidRPr="00086643" w:rsidTr="006E2680">
        <w:trPr>
          <w:tblCellSpacing w:w="0" w:type="dxa"/>
        </w:trPr>
        <w:tc>
          <w:tcPr>
            <w:tcW w:w="221" w:type="pct"/>
            <w:vMerge w:val="restart"/>
            <w:shd w:val="clear" w:color="auto" w:fill="FFFFFF"/>
            <w:hideMark/>
          </w:tcPr>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2</w:t>
            </w:r>
          </w:p>
        </w:tc>
        <w:tc>
          <w:tcPr>
            <w:tcW w:w="1204" w:type="pct"/>
            <w:vMerge w:val="restart"/>
            <w:shd w:val="clear" w:color="auto" w:fill="FFFFFF"/>
            <w:hideMark/>
          </w:tcPr>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Loại V</w:t>
            </w:r>
          </w:p>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(Nghề, công việc đặc biệt nặng nhọc, độc hại, nguy hiểm)</w:t>
            </w:r>
          </w:p>
        </w:tc>
        <w:tc>
          <w:tcPr>
            <w:tcW w:w="3059" w:type="pct"/>
            <w:shd w:val="clear" w:color="auto" w:fill="FFFFFF"/>
            <w:hideMark/>
          </w:tcPr>
          <w:p w:rsidR="00086643" w:rsidRPr="00086643" w:rsidRDefault="00086643" w:rsidP="006E2680">
            <w:pPr>
              <w:spacing w:line="234" w:lineRule="atLeast"/>
              <w:ind w:left="78"/>
              <w:jc w:val="both"/>
              <w:rPr>
                <w:color w:val="000000"/>
                <w:sz w:val="24"/>
                <w:szCs w:val="24"/>
              </w:rPr>
            </w:pPr>
            <w:r w:rsidRPr="00086643">
              <w:rPr>
                <w:color w:val="000000"/>
                <w:sz w:val="24"/>
                <w:szCs w:val="24"/>
              </w:rPr>
              <w:t>Có ít nhất 01 yếu tố nguy hiểm, yếu tố có hại không đạt tiêu chuẩn vệ sinh cho phép theo quy định của Bộ Y tế hoặc có ít nhất 01 chỉ tiêu về điều kiện lao động thuộc số thứ tự 10.1 Mục A, </w:t>
            </w:r>
            <w:bookmarkStart w:id="17" w:name="bieumau_pl_1_tt_29_2021_bldtbxh_3"/>
            <w:r w:rsidRPr="00086643">
              <w:rPr>
                <w:color w:val="000000"/>
                <w:sz w:val="24"/>
                <w:szCs w:val="24"/>
              </w:rPr>
              <w:t>Phụ lục I</w:t>
            </w:r>
            <w:bookmarkEnd w:id="17"/>
            <w:r w:rsidRPr="00086643">
              <w:rPr>
                <w:color w:val="000000"/>
                <w:sz w:val="24"/>
                <w:szCs w:val="24"/>
              </w:rPr>
              <w:t> ban hành kèm theo Thông tư số </w:t>
            </w:r>
            <w:bookmarkStart w:id="18" w:name="tvpllink_qnjsyhbpio_3"/>
            <w:r w:rsidRPr="00086643">
              <w:rPr>
                <w:color w:val="000000"/>
                <w:sz w:val="24"/>
                <w:szCs w:val="24"/>
              </w:rPr>
              <w:t>29/2021/TT-BLĐTBXH</w:t>
            </w:r>
            <w:bookmarkEnd w:id="18"/>
            <w:r w:rsidRPr="00086643">
              <w:rPr>
                <w:color w:val="000000"/>
                <w:sz w:val="24"/>
                <w:szCs w:val="24"/>
              </w:rPr>
              <w:t> xếp từ thang điểm 4 trở lên.</w:t>
            </w:r>
          </w:p>
        </w:tc>
        <w:tc>
          <w:tcPr>
            <w:tcW w:w="515" w:type="pct"/>
            <w:shd w:val="clear" w:color="auto" w:fill="FFFFFF"/>
            <w:hideMark/>
          </w:tcPr>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Mức 2</w:t>
            </w:r>
          </w:p>
        </w:tc>
      </w:tr>
      <w:tr w:rsidR="00086643" w:rsidRPr="00086643" w:rsidTr="006E2680">
        <w:trPr>
          <w:tblCellSpacing w:w="0" w:type="dxa"/>
        </w:trPr>
        <w:tc>
          <w:tcPr>
            <w:tcW w:w="221" w:type="pct"/>
            <w:vMerge/>
            <w:shd w:val="clear" w:color="auto" w:fill="FFFFFF"/>
            <w:vAlign w:val="center"/>
            <w:hideMark/>
          </w:tcPr>
          <w:p w:rsidR="00086643" w:rsidRPr="00086643" w:rsidRDefault="00086643" w:rsidP="00086643">
            <w:pPr>
              <w:rPr>
                <w:color w:val="000000"/>
                <w:sz w:val="24"/>
                <w:szCs w:val="24"/>
              </w:rPr>
            </w:pPr>
          </w:p>
        </w:tc>
        <w:tc>
          <w:tcPr>
            <w:tcW w:w="0" w:type="auto"/>
            <w:vMerge/>
            <w:shd w:val="clear" w:color="auto" w:fill="FFFFFF"/>
            <w:vAlign w:val="center"/>
            <w:hideMark/>
          </w:tcPr>
          <w:p w:rsidR="00086643" w:rsidRPr="00086643" w:rsidRDefault="00086643" w:rsidP="00086643">
            <w:pPr>
              <w:rPr>
                <w:color w:val="000000"/>
                <w:sz w:val="24"/>
                <w:szCs w:val="24"/>
              </w:rPr>
            </w:pPr>
          </w:p>
        </w:tc>
        <w:tc>
          <w:tcPr>
            <w:tcW w:w="3059" w:type="pct"/>
            <w:shd w:val="clear" w:color="auto" w:fill="FFFFFF"/>
            <w:hideMark/>
          </w:tcPr>
          <w:p w:rsidR="00086643" w:rsidRPr="00086643" w:rsidRDefault="00086643" w:rsidP="006E2680">
            <w:pPr>
              <w:spacing w:before="120" w:after="120" w:line="234" w:lineRule="atLeast"/>
              <w:ind w:left="78"/>
              <w:jc w:val="both"/>
              <w:rPr>
                <w:color w:val="000000"/>
                <w:sz w:val="24"/>
                <w:szCs w:val="24"/>
              </w:rPr>
            </w:pPr>
            <w:r w:rsidRPr="00086643">
              <w:rPr>
                <w:color w:val="000000"/>
                <w:sz w:val="24"/>
                <w:szCs w:val="24"/>
              </w:rPr>
              <w:t>Có ít nhất 02 yếu tố nguy hiểm, yếu tố có hại không đạt tiêu chuẩn vệ sinh cho phép theo quy định của Bộ Y tế.</w:t>
            </w:r>
          </w:p>
          <w:p w:rsidR="00086643" w:rsidRPr="00086643" w:rsidRDefault="00086643" w:rsidP="006E2680">
            <w:pPr>
              <w:spacing w:line="234" w:lineRule="atLeast"/>
              <w:ind w:left="78"/>
              <w:jc w:val="both"/>
              <w:rPr>
                <w:color w:val="000000"/>
                <w:sz w:val="24"/>
                <w:szCs w:val="24"/>
              </w:rPr>
            </w:pPr>
            <w:r w:rsidRPr="00086643">
              <w:rPr>
                <w:color w:val="000000"/>
                <w:sz w:val="24"/>
                <w:szCs w:val="24"/>
              </w:rPr>
              <w:t>Có ít nhất 01 yếu tố nguy hiểm, yếu tố có hại không đạt tiêu chuẩn vệ sinh cho phép theo quy định của Bộ Y tế đồng thời có ít nhất 01 chỉ tiêu về điều kiện lao động thuộc số thứ tự 10.1 Mục A, </w:t>
            </w:r>
            <w:bookmarkStart w:id="19" w:name="bieumau_pl_1_tt_29_2021_bldtbxh_4"/>
            <w:r w:rsidRPr="00086643">
              <w:rPr>
                <w:color w:val="000000"/>
                <w:sz w:val="24"/>
                <w:szCs w:val="24"/>
              </w:rPr>
              <w:t>Phụ lục I</w:t>
            </w:r>
            <w:bookmarkEnd w:id="19"/>
            <w:r w:rsidRPr="00086643">
              <w:rPr>
                <w:color w:val="000000"/>
                <w:sz w:val="24"/>
                <w:szCs w:val="24"/>
              </w:rPr>
              <w:t> ban hành kèm theo Thông tư số </w:t>
            </w:r>
            <w:bookmarkStart w:id="20" w:name="tvpllink_qnjsyhbpio_4"/>
            <w:r w:rsidRPr="00086643">
              <w:rPr>
                <w:color w:val="000000"/>
                <w:sz w:val="24"/>
                <w:szCs w:val="24"/>
              </w:rPr>
              <w:t>29/2021/TT-BLĐTBXH</w:t>
            </w:r>
            <w:bookmarkEnd w:id="20"/>
            <w:r w:rsidRPr="00086643">
              <w:rPr>
                <w:color w:val="000000"/>
                <w:sz w:val="24"/>
                <w:szCs w:val="24"/>
              </w:rPr>
              <w:t> xếp từ thang điểm 4 trở lên.</w:t>
            </w:r>
          </w:p>
        </w:tc>
        <w:tc>
          <w:tcPr>
            <w:tcW w:w="515" w:type="pct"/>
            <w:shd w:val="clear" w:color="auto" w:fill="FFFFFF"/>
            <w:hideMark/>
          </w:tcPr>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Mức 3</w:t>
            </w:r>
          </w:p>
        </w:tc>
      </w:tr>
      <w:tr w:rsidR="00086643" w:rsidRPr="00086643" w:rsidTr="006E2680">
        <w:trPr>
          <w:tblCellSpacing w:w="0" w:type="dxa"/>
        </w:trPr>
        <w:tc>
          <w:tcPr>
            <w:tcW w:w="221" w:type="pct"/>
            <w:vMerge w:val="restart"/>
            <w:shd w:val="clear" w:color="auto" w:fill="FFFFFF"/>
            <w:hideMark/>
          </w:tcPr>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3</w:t>
            </w:r>
          </w:p>
        </w:tc>
        <w:tc>
          <w:tcPr>
            <w:tcW w:w="1204" w:type="pct"/>
            <w:vMerge w:val="restart"/>
            <w:shd w:val="clear" w:color="auto" w:fill="FFFFFF"/>
            <w:hideMark/>
          </w:tcPr>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Loại VI</w:t>
            </w:r>
          </w:p>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(Nghề, công việc đặc biệt nặng nhọc, độc hại, nguy hiểm)</w:t>
            </w:r>
          </w:p>
        </w:tc>
        <w:tc>
          <w:tcPr>
            <w:tcW w:w="3059" w:type="pct"/>
            <w:shd w:val="clear" w:color="auto" w:fill="FFFFFF"/>
            <w:hideMark/>
          </w:tcPr>
          <w:p w:rsidR="00086643" w:rsidRPr="00086643" w:rsidRDefault="00086643" w:rsidP="006E2680">
            <w:pPr>
              <w:spacing w:line="234" w:lineRule="atLeast"/>
              <w:ind w:left="78"/>
              <w:jc w:val="both"/>
              <w:rPr>
                <w:color w:val="000000"/>
                <w:sz w:val="24"/>
                <w:szCs w:val="24"/>
              </w:rPr>
            </w:pPr>
            <w:r w:rsidRPr="00086643">
              <w:rPr>
                <w:color w:val="000000"/>
                <w:sz w:val="24"/>
                <w:szCs w:val="24"/>
              </w:rPr>
              <w:t>Có ít nhất 01 yếu tố nguy hiểm, yếu tố có hại không đạt tiêu chuẩn vệ sinh cho phép theo quy định của Bộ Y tế hoặc có ít nhất 01 chỉ tiêu về điều kiện lao động thuộc số thứ tự 10.1 Mục A, </w:t>
            </w:r>
            <w:bookmarkStart w:id="21" w:name="bieumau_pl_1_tt_29_2021_bldtbxh_5"/>
            <w:r w:rsidRPr="00086643">
              <w:rPr>
                <w:color w:val="000000"/>
                <w:sz w:val="24"/>
                <w:szCs w:val="24"/>
              </w:rPr>
              <w:t>Phụ lục I</w:t>
            </w:r>
            <w:bookmarkEnd w:id="21"/>
            <w:r w:rsidRPr="00086643">
              <w:rPr>
                <w:color w:val="000000"/>
                <w:sz w:val="24"/>
                <w:szCs w:val="24"/>
              </w:rPr>
              <w:t> ban hành kèm theo Thông tư số </w:t>
            </w:r>
            <w:bookmarkStart w:id="22" w:name="tvpllink_qnjsyhbpio_5"/>
            <w:r w:rsidRPr="00086643">
              <w:rPr>
                <w:color w:val="000000"/>
                <w:sz w:val="24"/>
                <w:szCs w:val="24"/>
              </w:rPr>
              <w:t>29/2021/TT-BLĐTBXH</w:t>
            </w:r>
            <w:bookmarkEnd w:id="22"/>
            <w:r w:rsidRPr="00086643">
              <w:rPr>
                <w:color w:val="000000"/>
                <w:sz w:val="24"/>
                <w:szCs w:val="24"/>
              </w:rPr>
              <w:t> xếp từ thang điểm 4 trở lên.</w:t>
            </w:r>
          </w:p>
        </w:tc>
        <w:tc>
          <w:tcPr>
            <w:tcW w:w="515" w:type="pct"/>
            <w:shd w:val="clear" w:color="auto" w:fill="FFFFFF"/>
            <w:hideMark/>
          </w:tcPr>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Mức 3</w:t>
            </w:r>
          </w:p>
        </w:tc>
      </w:tr>
      <w:tr w:rsidR="00086643" w:rsidRPr="00086643" w:rsidTr="006E2680">
        <w:trPr>
          <w:tblCellSpacing w:w="0" w:type="dxa"/>
        </w:trPr>
        <w:tc>
          <w:tcPr>
            <w:tcW w:w="221" w:type="pct"/>
            <w:vMerge/>
            <w:shd w:val="clear" w:color="auto" w:fill="FFFFFF"/>
            <w:vAlign w:val="center"/>
            <w:hideMark/>
          </w:tcPr>
          <w:p w:rsidR="00086643" w:rsidRPr="00086643" w:rsidRDefault="00086643" w:rsidP="00086643">
            <w:pPr>
              <w:rPr>
                <w:color w:val="000000"/>
                <w:sz w:val="24"/>
                <w:szCs w:val="24"/>
              </w:rPr>
            </w:pPr>
          </w:p>
        </w:tc>
        <w:tc>
          <w:tcPr>
            <w:tcW w:w="0" w:type="auto"/>
            <w:vMerge/>
            <w:shd w:val="clear" w:color="auto" w:fill="FFFFFF"/>
            <w:vAlign w:val="center"/>
            <w:hideMark/>
          </w:tcPr>
          <w:p w:rsidR="00086643" w:rsidRPr="00086643" w:rsidRDefault="00086643" w:rsidP="00086643">
            <w:pPr>
              <w:rPr>
                <w:color w:val="000000"/>
                <w:sz w:val="24"/>
                <w:szCs w:val="24"/>
              </w:rPr>
            </w:pPr>
          </w:p>
        </w:tc>
        <w:tc>
          <w:tcPr>
            <w:tcW w:w="3059" w:type="pct"/>
            <w:shd w:val="clear" w:color="auto" w:fill="FFFFFF"/>
            <w:hideMark/>
          </w:tcPr>
          <w:p w:rsidR="00086643" w:rsidRPr="00086643" w:rsidRDefault="00086643" w:rsidP="006E2680">
            <w:pPr>
              <w:spacing w:before="120" w:after="120" w:line="234" w:lineRule="atLeast"/>
              <w:ind w:left="78"/>
              <w:jc w:val="both"/>
              <w:rPr>
                <w:color w:val="000000"/>
                <w:sz w:val="24"/>
                <w:szCs w:val="24"/>
              </w:rPr>
            </w:pPr>
            <w:r w:rsidRPr="00086643">
              <w:rPr>
                <w:color w:val="000000"/>
                <w:sz w:val="24"/>
                <w:szCs w:val="24"/>
              </w:rPr>
              <w:t>Đảm bảo 02 điều kiện sau:</w:t>
            </w:r>
          </w:p>
          <w:p w:rsidR="00086643" w:rsidRPr="00086643" w:rsidRDefault="00086643" w:rsidP="006E2680">
            <w:pPr>
              <w:spacing w:line="234" w:lineRule="atLeast"/>
              <w:ind w:left="78"/>
              <w:jc w:val="both"/>
              <w:rPr>
                <w:color w:val="000000"/>
                <w:sz w:val="24"/>
                <w:szCs w:val="24"/>
              </w:rPr>
            </w:pPr>
            <w:r w:rsidRPr="00086643">
              <w:rPr>
                <w:color w:val="000000"/>
                <w:sz w:val="24"/>
                <w:szCs w:val="24"/>
              </w:rPr>
              <w:t>- Có ít nhất 01 yếu tố nguy hiểm, yếu tố có hại không đạt tiêu chuẩn vệ sinh cho phép theo quy định của Bộ Y tế hoặc có ít nhất 01 chỉ tiêu về điều kiện lao động thuộc số thứ tự 10.1 Mục A, </w:t>
            </w:r>
            <w:bookmarkStart w:id="23" w:name="bieumau_pl_1_tt_29_2021_bldtbxh_6"/>
            <w:r w:rsidRPr="00086643">
              <w:rPr>
                <w:color w:val="000000"/>
                <w:sz w:val="24"/>
                <w:szCs w:val="24"/>
              </w:rPr>
              <w:t xml:space="preserve">Phụ lục </w:t>
            </w:r>
            <w:bookmarkStart w:id="24" w:name="_GoBack"/>
            <w:bookmarkEnd w:id="24"/>
            <w:r w:rsidRPr="00086643">
              <w:rPr>
                <w:color w:val="000000"/>
                <w:sz w:val="24"/>
                <w:szCs w:val="24"/>
              </w:rPr>
              <w:t>I</w:t>
            </w:r>
            <w:bookmarkEnd w:id="23"/>
            <w:r w:rsidRPr="00086643">
              <w:rPr>
                <w:color w:val="000000"/>
                <w:sz w:val="24"/>
                <w:szCs w:val="24"/>
              </w:rPr>
              <w:t> ban hành kèm theo Thông tư số </w:t>
            </w:r>
            <w:bookmarkStart w:id="25" w:name="tvpllink_qnjsyhbpio_6"/>
            <w:r w:rsidRPr="00086643">
              <w:rPr>
                <w:color w:val="000000"/>
                <w:sz w:val="24"/>
                <w:szCs w:val="24"/>
              </w:rPr>
              <w:t>29/2021/TT-BLĐTBXH</w:t>
            </w:r>
            <w:bookmarkEnd w:id="25"/>
            <w:r w:rsidRPr="00086643">
              <w:rPr>
                <w:color w:val="000000"/>
                <w:sz w:val="24"/>
                <w:szCs w:val="24"/>
              </w:rPr>
              <w:t> xếp từ thang điểm 4 trở lên;</w:t>
            </w:r>
          </w:p>
          <w:p w:rsidR="00086643" w:rsidRPr="00086643" w:rsidRDefault="00086643" w:rsidP="006E2680">
            <w:pPr>
              <w:spacing w:line="234" w:lineRule="atLeast"/>
              <w:ind w:left="78"/>
              <w:jc w:val="both"/>
              <w:rPr>
                <w:color w:val="000000"/>
                <w:sz w:val="24"/>
                <w:szCs w:val="24"/>
              </w:rPr>
            </w:pPr>
            <w:r w:rsidRPr="00086643">
              <w:rPr>
                <w:color w:val="000000"/>
                <w:sz w:val="24"/>
                <w:szCs w:val="24"/>
              </w:rPr>
              <w:t>- Có ít nhất 01 chỉ tiêu về điều kiện lao động thuộc từ số thứ tự 02 đến số thứ tự thứ 09 Mục A, </w:t>
            </w:r>
            <w:bookmarkStart w:id="26" w:name="bieumau_pl_1_tt_29_2021_bldtbxh_7"/>
            <w:r w:rsidRPr="00086643">
              <w:rPr>
                <w:color w:val="000000"/>
                <w:sz w:val="24"/>
                <w:szCs w:val="24"/>
              </w:rPr>
              <w:t>Phụ lục I</w:t>
            </w:r>
            <w:bookmarkEnd w:id="26"/>
            <w:r w:rsidRPr="00086643">
              <w:rPr>
                <w:color w:val="000000"/>
                <w:sz w:val="24"/>
                <w:szCs w:val="24"/>
              </w:rPr>
              <w:t> Thông tư số </w:t>
            </w:r>
            <w:bookmarkStart w:id="27" w:name="tvpllink_qnjsyhbpio_7"/>
            <w:r w:rsidRPr="00086643">
              <w:rPr>
                <w:color w:val="000000"/>
                <w:sz w:val="24"/>
                <w:szCs w:val="24"/>
              </w:rPr>
              <w:t>29/2021/TT-BLĐTBXH</w:t>
            </w:r>
            <w:bookmarkEnd w:id="27"/>
            <w:r w:rsidRPr="00086643">
              <w:rPr>
                <w:color w:val="000000"/>
                <w:sz w:val="24"/>
                <w:szCs w:val="24"/>
              </w:rPr>
              <w:t> xếp thang điểm 5 trở lên.</w:t>
            </w:r>
          </w:p>
        </w:tc>
        <w:tc>
          <w:tcPr>
            <w:tcW w:w="515" w:type="pct"/>
            <w:shd w:val="clear" w:color="auto" w:fill="FFFFFF"/>
            <w:hideMark/>
          </w:tcPr>
          <w:p w:rsidR="00086643" w:rsidRPr="00086643" w:rsidRDefault="00086643" w:rsidP="00086643">
            <w:pPr>
              <w:spacing w:before="120" w:after="120" w:line="234" w:lineRule="atLeast"/>
              <w:jc w:val="center"/>
              <w:rPr>
                <w:color w:val="000000"/>
                <w:sz w:val="24"/>
                <w:szCs w:val="24"/>
              </w:rPr>
            </w:pPr>
            <w:r w:rsidRPr="00086643">
              <w:rPr>
                <w:color w:val="000000"/>
                <w:sz w:val="24"/>
                <w:szCs w:val="24"/>
              </w:rPr>
              <w:t>Mức 4</w:t>
            </w:r>
          </w:p>
        </w:tc>
      </w:tr>
    </w:tbl>
    <w:p w:rsidR="00086643" w:rsidRPr="003344AF" w:rsidRDefault="00086643" w:rsidP="003344AF">
      <w:pPr>
        <w:shd w:val="clear" w:color="auto" w:fill="FFFFFF"/>
        <w:spacing w:before="120" w:after="120" w:line="234" w:lineRule="atLeast"/>
        <w:ind w:firstLine="709"/>
        <w:jc w:val="both"/>
        <w:rPr>
          <w:color w:val="000000"/>
        </w:rPr>
      </w:pPr>
    </w:p>
    <w:p w:rsidR="003344AF" w:rsidRPr="003344AF" w:rsidRDefault="003344AF" w:rsidP="003344AF">
      <w:pPr>
        <w:tabs>
          <w:tab w:val="left" w:pos="1528"/>
        </w:tabs>
        <w:ind w:firstLine="709"/>
        <w:jc w:val="both"/>
        <w:rPr>
          <w:b/>
          <w:i/>
        </w:rPr>
      </w:pPr>
    </w:p>
    <w:sectPr w:rsidR="003344AF" w:rsidRPr="003344AF" w:rsidSect="006E2680">
      <w:headerReference w:type="default" r:id="rId8"/>
      <w:pgSz w:w="11907" w:h="16840"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F96" w:rsidRDefault="00CA4F96" w:rsidP="000322ED">
      <w:r>
        <w:separator/>
      </w:r>
    </w:p>
  </w:endnote>
  <w:endnote w:type="continuationSeparator" w:id="0">
    <w:p w:rsidR="00CA4F96" w:rsidRDefault="00CA4F96"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F96" w:rsidRDefault="00CA4F96" w:rsidP="000322ED">
      <w:r>
        <w:separator/>
      </w:r>
    </w:p>
  </w:footnote>
  <w:footnote w:type="continuationSeparator" w:id="0">
    <w:p w:rsidR="00CA4F96" w:rsidRDefault="00CA4F96"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6E2680">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7B77"/>
    <w:rsid w:val="00015AC3"/>
    <w:rsid w:val="0001665A"/>
    <w:rsid w:val="000322ED"/>
    <w:rsid w:val="00064E92"/>
    <w:rsid w:val="000652A0"/>
    <w:rsid w:val="00080ED8"/>
    <w:rsid w:val="00082434"/>
    <w:rsid w:val="00083BD9"/>
    <w:rsid w:val="00086643"/>
    <w:rsid w:val="0009168A"/>
    <w:rsid w:val="0009173C"/>
    <w:rsid w:val="00093EE2"/>
    <w:rsid w:val="00097F41"/>
    <w:rsid w:val="000C70D2"/>
    <w:rsid w:val="000D698A"/>
    <w:rsid w:val="000F11C2"/>
    <w:rsid w:val="000F24B9"/>
    <w:rsid w:val="000F702E"/>
    <w:rsid w:val="00110A9B"/>
    <w:rsid w:val="00111446"/>
    <w:rsid w:val="0011530B"/>
    <w:rsid w:val="00125D30"/>
    <w:rsid w:val="00137436"/>
    <w:rsid w:val="00142934"/>
    <w:rsid w:val="00151578"/>
    <w:rsid w:val="0015443A"/>
    <w:rsid w:val="00163612"/>
    <w:rsid w:val="001944FA"/>
    <w:rsid w:val="001A4BB5"/>
    <w:rsid w:val="001B5B77"/>
    <w:rsid w:val="001B7F1B"/>
    <w:rsid w:val="001C4389"/>
    <w:rsid w:val="001E4E02"/>
    <w:rsid w:val="001E521E"/>
    <w:rsid w:val="002262C7"/>
    <w:rsid w:val="002332EA"/>
    <w:rsid w:val="00233C15"/>
    <w:rsid w:val="002439A3"/>
    <w:rsid w:val="00247C4B"/>
    <w:rsid w:val="00273522"/>
    <w:rsid w:val="00295005"/>
    <w:rsid w:val="00296896"/>
    <w:rsid w:val="002B5971"/>
    <w:rsid w:val="002B66FB"/>
    <w:rsid w:val="002C4937"/>
    <w:rsid w:val="002C4B5A"/>
    <w:rsid w:val="002D1631"/>
    <w:rsid w:val="002D16C5"/>
    <w:rsid w:val="002D5E0F"/>
    <w:rsid w:val="002E3175"/>
    <w:rsid w:val="002F4B9C"/>
    <w:rsid w:val="003044FE"/>
    <w:rsid w:val="00304F3F"/>
    <w:rsid w:val="003053DC"/>
    <w:rsid w:val="00313A59"/>
    <w:rsid w:val="0032347C"/>
    <w:rsid w:val="00330302"/>
    <w:rsid w:val="00333C2E"/>
    <w:rsid w:val="003344AF"/>
    <w:rsid w:val="00364793"/>
    <w:rsid w:val="00376A1C"/>
    <w:rsid w:val="00387F92"/>
    <w:rsid w:val="00396038"/>
    <w:rsid w:val="003A73A7"/>
    <w:rsid w:val="003B1EDB"/>
    <w:rsid w:val="003C154F"/>
    <w:rsid w:val="003D2A85"/>
    <w:rsid w:val="003D6803"/>
    <w:rsid w:val="003E55A6"/>
    <w:rsid w:val="003F0474"/>
    <w:rsid w:val="00402931"/>
    <w:rsid w:val="00415312"/>
    <w:rsid w:val="00421ADF"/>
    <w:rsid w:val="00423EEC"/>
    <w:rsid w:val="004337EB"/>
    <w:rsid w:val="00444CFC"/>
    <w:rsid w:val="004536AD"/>
    <w:rsid w:val="004626C1"/>
    <w:rsid w:val="004915A7"/>
    <w:rsid w:val="004A37D3"/>
    <w:rsid w:val="004A6B94"/>
    <w:rsid w:val="004D0E33"/>
    <w:rsid w:val="004E092C"/>
    <w:rsid w:val="004E74B3"/>
    <w:rsid w:val="00517701"/>
    <w:rsid w:val="00517872"/>
    <w:rsid w:val="00521CF7"/>
    <w:rsid w:val="005233D3"/>
    <w:rsid w:val="005329F5"/>
    <w:rsid w:val="00535251"/>
    <w:rsid w:val="005361F8"/>
    <w:rsid w:val="005516D4"/>
    <w:rsid w:val="00560CC7"/>
    <w:rsid w:val="00560DBB"/>
    <w:rsid w:val="00573D58"/>
    <w:rsid w:val="0058267D"/>
    <w:rsid w:val="00586CE2"/>
    <w:rsid w:val="00587EBF"/>
    <w:rsid w:val="005A44DB"/>
    <w:rsid w:val="005B673D"/>
    <w:rsid w:val="005B6A51"/>
    <w:rsid w:val="00602A33"/>
    <w:rsid w:val="00637654"/>
    <w:rsid w:val="00654A6C"/>
    <w:rsid w:val="00655941"/>
    <w:rsid w:val="0068013F"/>
    <w:rsid w:val="00685230"/>
    <w:rsid w:val="00692C59"/>
    <w:rsid w:val="006B1709"/>
    <w:rsid w:val="006C33BF"/>
    <w:rsid w:val="006C5B4D"/>
    <w:rsid w:val="006D3E73"/>
    <w:rsid w:val="006D5695"/>
    <w:rsid w:val="006E2680"/>
    <w:rsid w:val="006F0306"/>
    <w:rsid w:val="006F3441"/>
    <w:rsid w:val="00713B1E"/>
    <w:rsid w:val="00717C07"/>
    <w:rsid w:val="007203D0"/>
    <w:rsid w:val="007221FC"/>
    <w:rsid w:val="0072724D"/>
    <w:rsid w:val="007373C6"/>
    <w:rsid w:val="00742E5A"/>
    <w:rsid w:val="00743C3D"/>
    <w:rsid w:val="00754B88"/>
    <w:rsid w:val="00760674"/>
    <w:rsid w:val="00761CC5"/>
    <w:rsid w:val="00772398"/>
    <w:rsid w:val="007723F3"/>
    <w:rsid w:val="007741A3"/>
    <w:rsid w:val="00793D53"/>
    <w:rsid w:val="00797265"/>
    <w:rsid w:val="007A4357"/>
    <w:rsid w:val="007A53F8"/>
    <w:rsid w:val="007A59FB"/>
    <w:rsid w:val="007B53BE"/>
    <w:rsid w:val="007C467C"/>
    <w:rsid w:val="007C5BB3"/>
    <w:rsid w:val="007E1465"/>
    <w:rsid w:val="007E49AB"/>
    <w:rsid w:val="008111DD"/>
    <w:rsid w:val="00846E60"/>
    <w:rsid w:val="00854951"/>
    <w:rsid w:val="008602AF"/>
    <w:rsid w:val="00873755"/>
    <w:rsid w:val="00877B0D"/>
    <w:rsid w:val="00887AA4"/>
    <w:rsid w:val="00895163"/>
    <w:rsid w:val="008A20E6"/>
    <w:rsid w:val="008A27BD"/>
    <w:rsid w:val="008A4131"/>
    <w:rsid w:val="008B75F8"/>
    <w:rsid w:val="008D0929"/>
    <w:rsid w:val="0090013F"/>
    <w:rsid w:val="0090792C"/>
    <w:rsid w:val="00914719"/>
    <w:rsid w:val="0091626C"/>
    <w:rsid w:val="0093445B"/>
    <w:rsid w:val="00936759"/>
    <w:rsid w:val="00964112"/>
    <w:rsid w:val="00964256"/>
    <w:rsid w:val="009948BB"/>
    <w:rsid w:val="009A191F"/>
    <w:rsid w:val="009A73D1"/>
    <w:rsid w:val="009B3BBB"/>
    <w:rsid w:val="009C2DA3"/>
    <w:rsid w:val="009C5DF5"/>
    <w:rsid w:val="009F4AD0"/>
    <w:rsid w:val="00A065EC"/>
    <w:rsid w:val="00A43916"/>
    <w:rsid w:val="00A45E81"/>
    <w:rsid w:val="00A4672B"/>
    <w:rsid w:val="00A5480D"/>
    <w:rsid w:val="00A765BA"/>
    <w:rsid w:val="00A83399"/>
    <w:rsid w:val="00AA6913"/>
    <w:rsid w:val="00AA7BB2"/>
    <w:rsid w:val="00AC4261"/>
    <w:rsid w:val="00AD39D8"/>
    <w:rsid w:val="00AD48AF"/>
    <w:rsid w:val="00AE221D"/>
    <w:rsid w:val="00AE2F62"/>
    <w:rsid w:val="00AE6D15"/>
    <w:rsid w:val="00AF1962"/>
    <w:rsid w:val="00AF5750"/>
    <w:rsid w:val="00B03F2B"/>
    <w:rsid w:val="00B177C7"/>
    <w:rsid w:val="00B2320D"/>
    <w:rsid w:val="00B236BF"/>
    <w:rsid w:val="00B31CEF"/>
    <w:rsid w:val="00B40A62"/>
    <w:rsid w:val="00B55282"/>
    <w:rsid w:val="00B57E75"/>
    <w:rsid w:val="00B7393A"/>
    <w:rsid w:val="00BA26A4"/>
    <w:rsid w:val="00BA66CB"/>
    <w:rsid w:val="00BA6E88"/>
    <w:rsid w:val="00BB45E2"/>
    <w:rsid w:val="00BC19D4"/>
    <w:rsid w:val="00BC6D44"/>
    <w:rsid w:val="00BC7C1F"/>
    <w:rsid w:val="00BE68D4"/>
    <w:rsid w:val="00C000C1"/>
    <w:rsid w:val="00C04CCA"/>
    <w:rsid w:val="00C2611B"/>
    <w:rsid w:val="00C43899"/>
    <w:rsid w:val="00C57F96"/>
    <w:rsid w:val="00C665AC"/>
    <w:rsid w:val="00CA1EE9"/>
    <w:rsid w:val="00CA4F96"/>
    <w:rsid w:val="00CA76D3"/>
    <w:rsid w:val="00CB0A97"/>
    <w:rsid w:val="00CB28E9"/>
    <w:rsid w:val="00CD227F"/>
    <w:rsid w:val="00CD3846"/>
    <w:rsid w:val="00D0489C"/>
    <w:rsid w:val="00D04F98"/>
    <w:rsid w:val="00D06475"/>
    <w:rsid w:val="00D11186"/>
    <w:rsid w:val="00D1798F"/>
    <w:rsid w:val="00D21003"/>
    <w:rsid w:val="00D23562"/>
    <w:rsid w:val="00D24121"/>
    <w:rsid w:val="00D265A1"/>
    <w:rsid w:val="00D26A61"/>
    <w:rsid w:val="00D4636B"/>
    <w:rsid w:val="00D4697C"/>
    <w:rsid w:val="00D52FA4"/>
    <w:rsid w:val="00D54263"/>
    <w:rsid w:val="00D546F8"/>
    <w:rsid w:val="00D61585"/>
    <w:rsid w:val="00D75E57"/>
    <w:rsid w:val="00D85C9E"/>
    <w:rsid w:val="00D87505"/>
    <w:rsid w:val="00D9099D"/>
    <w:rsid w:val="00D91F63"/>
    <w:rsid w:val="00D97B73"/>
    <w:rsid w:val="00DB5292"/>
    <w:rsid w:val="00DB6637"/>
    <w:rsid w:val="00DB6D7A"/>
    <w:rsid w:val="00DC2101"/>
    <w:rsid w:val="00DC39AD"/>
    <w:rsid w:val="00DD1153"/>
    <w:rsid w:val="00DE2F73"/>
    <w:rsid w:val="00E03E13"/>
    <w:rsid w:val="00E13658"/>
    <w:rsid w:val="00E15F72"/>
    <w:rsid w:val="00E25299"/>
    <w:rsid w:val="00E340B0"/>
    <w:rsid w:val="00E350A1"/>
    <w:rsid w:val="00E4063A"/>
    <w:rsid w:val="00E426A1"/>
    <w:rsid w:val="00E47B5E"/>
    <w:rsid w:val="00E52056"/>
    <w:rsid w:val="00E626DE"/>
    <w:rsid w:val="00E711BE"/>
    <w:rsid w:val="00E83F53"/>
    <w:rsid w:val="00E92775"/>
    <w:rsid w:val="00EA45C6"/>
    <w:rsid w:val="00EB19B8"/>
    <w:rsid w:val="00EB4DEA"/>
    <w:rsid w:val="00EE3735"/>
    <w:rsid w:val="00EE4BF0"/>
    <w:rsid w:val="00EF6A8A"/>
    <w:rsid w:val="00F00BD7"/>
    <w:rsid w:val="00F26637"/>
    <w:rsid w:val="00F34C69"/>
    <w:rsid w:val="00F42BF4"/>
    <w:rsid w:val="00F46C97"/>
    <w:rsid w:val="00F659C0"/>
    <w:rsid w:val="00F91BCA"/>
    <w:rsid w:val="00F959FD"/>
    <w:rsid w:val="00FA203F"/>
    <w:rsid w:val="00FD163C"/>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225458487">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44544606">
      <w:bodyDiv w:val="1"/>
      <w:marLeft w:val="0"/>
      <w:marRight w:val="0"/>
      <w:marTop w:val="0"/>
      <w:marBottom w:val="0"/>
      <w:divBdr>
        <w:top w:val="none" w:sz="0" w:space="0" w:color="auto"/>
        <w:left w:val="none" w:sz="0" w:space="0" w:color="auto"/>
        <w:bottom w:val="none" w:sz="0" w:space="0" w:color="auto"/>
        <w:right w:val="none" w:sz="0" w:space="0" w:color="auto"/>
      </w:divBdr>
    </w:div>
    <w:div w:id="45078506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074354031">
      <w:bodyDiv w:val="1"/>
      <w:marLeft w:val="0"/>
      <w:marRight w:val="0"/>
      <w:marTop w:val="0"/>
      <w:marBottom w:val="0"/>
      <w:divBdr>
        <w:top w:val="none" w:sz="0" w:space="0" w:color="auto"/>
        <w:left w:val="none" w:sz="0" w:space="0" w:color="auto"/>
        <w:bottom w:val="none" w:sz="0" w:space="0" w:color="auto"/>
        <w:right w:val="none" w:sz="0" w:space="0" w:color="auto"/>
      </w:divBdr>
    </w:div>
    <w:div w:id="1110277407">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0308921">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35701464">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ismail - [2010]</cp:lastModifiedBy>
  <cp:revision>104</cp:revision>
  <cp:lastPrinted>2021-05-05T00:21:00Z</cp:lastPrinted>
  <dcterms:created xsi:type="dcterms:W3CDTF">2021-05-05T00:24:00Z</dcterms:created>
  <dcterms:modified xsi:type="dcterms:W3CDTF">2025-07-27T11:00:00Z</dcterms:modified>
</cp:coreProperties>
</file>